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2017 թվականի հոկտեմբերի 5-ի N1318-Ն որոշման մեջ փոփոխություններ և լրացում կատարելու մասին» Հայաստանի Հանրապետության կառավարության որոշման նախագիծ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><w:jc w:val="center"/></w:pPr><w:r><w:rPr><w:b w:val="1"/><w:bCs w:val="1"/></w:rPr><w:t xml:space="preserve">…………..................</w:t></w:r><w:r><w:rPr><w:b w:val="1"/><w:bCs w:val="1"/></w:rPr><w:t xml:space="preserve"> 2019 </w:t></w:r><w:r><w:rPr><w:b w:val="1"/><w:bCs w:val="1"/></w:rPr><w:t xml:space="preserve">թվականի</w:t></w:r><w:r><w:rPr><w:b w:val="1"/><w:bCs w:val="1"/></w:rPr><w:t xml:space="preserve"> N …….. – </w:t></w:r><w:r><w:rPr><w:b w:val="1"/><w:bCs w:val="1"/></w:rPr><w:t xml:space="preserve">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w:r><w:rPr><w:b w:val="1"/><w:bCs w:val="1"/></w:rPr><w:t xml:space="preserve"> 2017 </w:t></w:r><w:r><w:rPr><w:b w:val="1"/><w:bCs w:val="1"/></w:rPr><w:t xml:space="preserve">ԹՎԱԿԱՆԻ</w:t></w:r><w:r><w:rPr/><w:t xml:space="preserve"> </w:t></w:r><w:r><w:rPr><w:b w:val="1"/><w:bCs w:val="1"/></w:rPr><w:t xml:space="preserve">ՀՈԿՏԵՄԲԵՐԻ 5-Ի N1318-</w:t></w:r><w:r><w:rPr><w:b w:val="1"/><w:bCs w:val="1"/></w:rPr><w:t xml:space="preserve">Ն</w:t></w:r><w:r><w:rPr/><w:t xml:space="preserve"> </w:t></w:r><w:r><w:rPr><w:b w:val="1"/><w:bCs w:val="1"/></w:rPr><w:t xml:space="preserve">ՈՐՈՇՄԱՆ</w:t></w:r><w:r><w:rPr/><w:t xml:space="preserve"> </w:t></w:r><w:r><w:rPr><w:b w:val="1"/><w:bCs w:val="1"/></w:rPr><w:t xml:space="preserve">ՄԵՋ</w:t></w:r><w:r><w:rPr/><w:t xml:space="preserve"> </w:t></w:r><w:r><w:rPr><w:b w:val="1"/><w:bCs w:val="1"/></w:rPr><w:t xml:space="preserve">ՓՈՓՈԽՈՒԹՅՈՒՆ</w:t></w:r><w:r><w:rPr><w:b w:val="1"/><w:bCs w:val="1"/></w:rPr><w:t xml:space="preserve">ՆԵՐ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ԼՐԱՑՈՒՄ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 </w:t></w:r></w:p><w:p><w:pPr/><w:r><w:rPr><w:b w:val="1"/><w:bCs w:val="1"/></w:rPr><w:t xml:space="preserve"> </w:t></w:r></w:p><w:p><w:pPr/><w:r><w:rPr/><w:t xml:space="preserve">Հիմք ընդունելով «Նորմատիվ իրավական ակտերի մասին» օրենքի 34-րդ հոդվածի    1-ին մասը՝ Հայաստանի Հանրապետության կառավարությունը 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Հայաստանի Հանրապետության կառավարության 2017 թվականի հոկտեմբերի 5-ի «Հսկիչ-դրամարկղային մեքենային և ցանցային կապի միջոցներին ներկայացվող տեխնիկական պահանջները, հսկիչ-դրամարկղային մեքենան հարկային մարմնում գրանցման և գրանցումից հանման կարգն ու հսկիչ-դրամարկղային մեքենայի կիրառության կանոնները հաստատելու մասին» N1318-Ն որոշման (այսուհետ՝ Որոշում) մեջ կատարել հետևյալ փոփոխություններն ու լրացումը՝</w:t></w:r></w:p><w:p><w:pPr/><w:r><w:rPr/><w:t xml:space="preserve">           1) Որոշման N1 հավելվածի՝</w:t></w:r></w:p><w:p><w:pPr/><w:r><w:rPr/><w:t xml:space="preserve">ա. 5-րդ կետի 1-ին ենթակետի «է» պարբերությունը շարադրել նոր խմբագրությամբ՝</w:t></w:r></w:p><w:p><w:pPr/><w:r><w:rPr/><w:t xml:space="preserve">«է.  SIM քարտով՝ նվազագույնը 3G կապուղիով վերադաս հարկային մարմնի տեղեկատվական համակարգին միանալու հնարավորություն, ինչպես նաև WIFI ցանցին և Ethernet-ին (համապատասխան փոխարկիչի միջոցով) միանալու հնարավորություն,»,</w:t></w:r></w:p><w:p><w:pPr/><w:r><w:rPr/><w:t xml:space="preserve">բ. 7-րդ կետը շարադրել նոր խմբագրությամբ՝</w:t></w:r></w:p><w:p><w:pPr/><w:r><w:rPr/><w:t xml:space="preserve">«7. ՀԴՄ սարքը քանդելու (պատյանը բացելու) դեպքում պետք է իրականացվի ֆիսկալային ռեժիմի անջատում, սարքի գաղտնագրման բանալիների ջնջում և ՀԴՄ սարքի պատյանը փակելու դեպքում առանց գաղտնագրման բանալիներ վերականգնող համապատասխան գործիքի հնարավոր չլինի գործարկել սարքը:»,</w:t></w:r></w:p><w:p><w:pPr/><w:r><w:rPr/><w:t xml:space="preserve">գ. 12-րդ կետի 9-րդ ենթակետը շարադրել նոր խմբագրությամբ՝</w:t></w:r></w:p><w:p><w:pPr/><w:r><w:rPr/><w:t xml:space="preserve">«9) տոկոսային կամ գումարային զեղչի հաշվարկ.»,</w:t></w:r></w:p><w:p><w:pPr/><w:r><w:rPr/><w:t xml:space="preserve">դ. 15-րդ կետը շարադրել նոր խմբագրությամբ՝</w:t></w:r></w:p><w:p><w:pPr/><w:r><w:rPr/><w:t xml:space="preserve">«15. Ֆիսկալային հիշողության մեջ գրանցվում է հետևյալ տեղեկատվությունը (ֆիսկալային տվյալներ)`</w:t></w:r></w:p><w:tbl><w:tblGrid><w:gridCol w:w="2640" w:type="dxa"/><w:gridCol w:w="3360" w:type="dxa"/><w:gridCol w:w="4260" w:type="dxa"/></w:tblGrid><w:tblPr><w:tblW w:w="0" w:type="dxa"/><w:tblLayout w:type="autofit"/></w:tblPr><w:tr><w:trPr/><w:tc><w:tcPr><w:tcW w:w="2640" w:type="dxa"/><w:noWrap/></w:tcPr><w:p><w:pPr/><w:r><w:rPr/><w:t xml:space="preserve">Գրառման տեսակը</w:t></w:r></w:p></w:tc><w:tc><w:tcPr><w:tcW w:w="3360" w:type="dxa"/><w:noWrap/></w:tcPr><w:p><w:pPr/><w:r><w:rPr/><w:t xml:space="preserve">Նկարագրություն</w:t></w:r></w:p></w:tc><w:tc><w:tcPr><w:tcW w:w="4260" w:type="dxa"/><w:noWrap/></w:tcPr><w:p><w:pPr/><w:r><w:rPr/><w:t xml:space="preserve">Ձևաչափ</w:t></w:r></w:p></w:tc></w:tr><w:tr><w:trPr/><w:tc><w:tcPr><w:tcW w:w="6015" w:type="dxa"/><w:gridSpan w:val="2"/><w:noWrap/></w:tcPr><w:p><w:pPr/><w:r><w:rPr/><w:t xml:space="preserve">ՀԴՄ գրանցում</w:t></w:r></w:p></w:tc><w:tc><w:tcPr><w:tcW w:w="4260" w:type="dxa"/><w:noWrap/></w:tcPr><w:p><w:pPr/><w:r><w:rPr/><w:t xml:space="preserve">r:<time>, <tin>, <crn>, <serial></w:t></w:r></w:p></w:tc></w:tr><w:tr><w:trPr/><w:tc><w:tcPr><w:tcW w:w="2640" w:type="dxa"/><w:noWrap/></w:tcPr><w:p><w:pPr/><w:r><w:rPr/><w:t xml:space="preserve">ՀԴՄ գրանցում</w:t></w:r></w:p></w:tc><w:tc><w:tcPr><w:tcW w:w="3360" w:type="dxa"/><w:noWrap/></w:tcPr><w:p><w:pPr/><w:r><w:rPr/><w:t xml:space="preserve">Գրանցման ժամը unix timestamp տեսքով</w:t></w:r></w:p></w:tc><w:tc><w:tcPr><w:tcW w:w="4260" w:type="dxa"/><w:noWrap/></w:tcPr><w:p><w:pPr/><w:r><w:rPr/><w:t xml:space="preserve"><time>  </w:t></w:r></w:p></w:tc></w:tr><w:tr><w:trPr/><w:tc><w:tcPr><w:tcW w:w="3360" w:type="dxa"/><w:noWrap/></w:tcPr><w:p><w:pPr/><w:r><w:rPr/><w:t xml:space="preserve">ՀԴՄ-ն կիրառող հարկ վճարողի հաշվառման համարը</w:t></w:r></w:p></w:tc><w:tc><w:tcPr><w:tcW w:w="4260" w:type="dxa"/><w:noWrap/></w:tcPr><w:p><w:pPr/><w:r><w:rPr/><w:t xml:space="preserve"><tin>     </w:t></w:r></w:p></w:tc></w:tr><w:tr><w:trPr/><w:tc><w:tcPr><w:tcW w:w="3360" w:type="dxa"/><w:noWrap/></w:tcPr><w:p><w:pPr/><w:r><w:rPr/><w:t xml:space="preserve">ՀԴՄ-ի գրանցման համարը</w:t></w:r></w:p></w:tc><w:tc><w:tcPr><w:tcW w:w="4260" w:type="dxa"/><w:noWrap/></w:tcPr><w:p><w:pPr/><w:r><w:rPr/><w:t xml:space="preserve"><crn>    </w:t></w:r></w:p></w:tc></w:tr><w:tr><w:trPr/><w:tc><w:tcPr><w:tcW w:w="3360" w:type="dxa"/><w:noWrap/></w:tcPr><w:p><w:pPr/><w:r><w:rPr/><w:t xml:space="preserve">ՀԴՄ գործարանային համարը</w:t></w:r></w:p></w:tc><w:tc><w:tcPr><w:tcW w:w="4260" w:type="dxa"/><w:noWrap/></w:tcPr><w:p><w:pPr/><w:r><w:rPr/><w:t xml:space="preserve"><serial> </w:t></w:r></w:p></w:tc></w:tr><w:tr><w:trPr/><w:tc><w:tcPr><w:tcW w:w="6015" w:type="dxa"/><w:gridSpan w:val="2"/><w:noWrap/></w:tcPr><w:p><w:pPr/><w:r><w:rPr/><w:t xml:space="preserve">ՀԴՄ ապաակտիվացում</w:t></w:r></w:p></w:tc><w:tc><w:tcPr><w:tcW w:w="4260" w:type="dxa"/><w:noWrap/></w:tcPr><w:p><w:pPr/><w:r><w:rPr/><w:t xml:space="preserve">c:<time>,<tin>,<crn>,<serial></w:t></w:r></w:p></w:tc></w:tr><w:tr><w:trPr/><w:tc><w:tcPr><w:tcW w:w="2640" w:type="dxa"/><w:noWrap/></w:tcPr><w:p><w:pPr/><w:r><w:rPr/><w:t xml:space="preserve">ՀԴՄ ապաակտիվացում</w:t></w:r></w:p></w:tc><w:tc><w:tcPr><w:tcW w:w="3360" w:type="dxa"/><w:noWrap/></w:tcPr><w:p><w:pPr/><w:r><w:rPr/><w:t xml:space="preserve">ՀԴՄ ապաակտիվացման ժամը unix timestamp տեսքով</w:t></w:r></w:p></w:tc><w:tc><w:tcPr><w:tcW w:w="4260" w:type="dxa"/><w:noWrap/></w:tcPr><w:p><w:pPr/><w:r><w:rPr/><w:t xml:space="preserve"><time>  </w:t></w:r></w:p></w:tc></w:tr><w:tr><w:trPr/><w:tc><w:tcPr><w:tcW w:w="3360" w:type="dxa"/><w:noWrap/></w:tcPr><w:p><w:pPr/><w:r><w:rPr/><w:t xml:space="preserve">ՀԴՄ-ն կիրառող հարկ վճարողի հաշվառման համարը</w:t></w:r></w:p></w:tc><w:tc><w:tcPr><w:tcW w:w="4260" w:type="dxa"/><w:noWrap/></w:tcPr><w:p><w:pPr/><w:r><w:rPr/><w:t xml:space="preserve"><tin>     </w:t></w:r></w:p></w:tc></w:tr><w:tr><w:trPr/><w:tc><w:tcPr><w:tcW w:w="3360" w:type="dxa"/><w:noWrap/></w:tcPr><w:p><w:pPr/><w:r><w:rPr/><w:t xml:space="preserve">ՀԴՄ գրանցման համարը</w:t></w:r></w:p></w:tc><w:tc><w:tcPr><w:tcW w:w="4260" w:type="dxa"/><w:noWrap/></w:tcPr><w:p><w:pPr/><w:r><w:rPr/><w:t xml:space="preserve"><crn>    </w:t></w:r></w:p></w:tc></w:tr><w:tr><w:trPr/><w:tc><w:tcPr><w:tcW w:w="3360" w:type="dxa"/><w:noWrap/></w:tcPr><w:p><w:pPr/><w:r><w:rPr/><w:t xml:space="preserve">ՀԴՄ գործարանային համարը</w:t></w:r></w:p></w:tc><w:tc><w:tcPr><w:tcW w:w="4260" w:type="dxa"/><w:noWrap/></w:tcPr><w:p><w:pPr/><w:r><w:rPr/><w:t xml:space="preserve"><serial> </w:t></w:r></w:p></w:tc></w:tr><w:tr><w:trPr/><w:tc><w:tcPr><w:tcW w:w="6015" w:type="dxa"/><w:gridSpan w:val="2"/><w:noWrap/></w:tcPr><w:p><w:pPr/><w:r><w:rPr/><w:t xml:space="preserve">Բաժնի ստեղծում</w:t></w:r></w:p></w:tc><w:tc><w:tcPr><w:tcW w:w="4260" w:type="dxa"/><w:noWrap/></w:tcPr><w:p><w:pPr/><w:r><w:rPr/><w:t xml:space="preserve">nd:<time>,<departmentId>,<taxMode></w:t></w:r></w:p></w:tc></w:tr><w:tr><w:trPr/><w:tc><w:tcPr><w:tcW w:w="2640" w:type="dxa"/><w:noWrap/></w:tcPr><w:p><w:pPr/><w:r><w:rPr/><w:t xml:space="preserve">Բաժնի ստեղծում</w:t></w:r></w:p></w:tc><w:tc><w:tcPr><w:tcW w:w="3360" w:type="dxa"/><w:noWrap/></w:tcPr><w:p><w:pPr/><w:r><w:rPr/><w:t xml:space="preserve">Բաժնի ստեղծման ժամը unix timestamp տեսքով</w:t></w:r></w:p></w:tc><w:tc><w:tcPr><w:tcW w:w="4260" w:type="dxa"/><w:noWrap/></w:tcPr><w:p><w:pPr/><w:r><w:rPr/><w:t xml:space="preserve"><time>  </w:t></w:r></w:p></w:tc></w:tr><w:tr><w:trPr/><w:tc><w:tcPr><w:tcW w:w="3360" w:type="dxa"/><w:noWrap/></w:tcPr><w:p><w:pPr/><w:r><w:rPr/><w:t xml:space="preserve">Տվյալ բաժնի համարը</w:t></w:r></w:p></w:tc><w:tc><w:tcPr><w:tcW w:w="4260" w:type="dxa"/><w:noWrap/></w:tcPr><w:p><w:pPr/><w:r><w:rPr/><w:t xml:space="preserve"><departmentId> </w:t></w:r></w:p></w:tc></w:tr><w:tr><w:trPr/><w:tc><w:tcPr><w:tcW w:w="3360" w:type="dxa"/><w:noWrap/></w:tcPr><w:p><w:pPr/><w:r><w:rPr/><w:t xml:space="preserve">Հարկման տեսակի նույնականացման համարը</w:t></w:r></w:p></w:tc><w:tc><w:tcPr><w:tcW w:w="4260" w:type="dxa"/><w:noWrap/></w:tcPr><w:p><w:pPr/><w:r><w:rPr/><w:t xml:space="preserve"><taxMode>      </w:t></w:r></w:p></w:tc></w:tr><w:tr><w:trPr/><w:tc><w:tcPr><w:tcW w:w="6015" w:type="dxa"/><w:gridSpan w:val="2"/><w:noWrap/></w:tcPr><w:p><w:pPr/><w:r><w:rPr/><w:t xml:space="preserve">ՀԴՄ վաճառքի կտրոնի տպում</w:t></w:r></w:p></w:tc><w:tc><w:tcPr><w:tcW w:w="4260" w:type="dxa"/><w:noWrap/></w:tcPr><w:p><w:pPr/><w:r><w:rPr/><w:t xml:space="preserve">p:<time>, <id>, <lottery-info>, [<receipt-info>]</w:t></w:r></w:p></w:tc></w:tr><w:tr><w:trPr/><w:tc><w:tcPr><w:tcW w:w="2640" w:type="dxa"/><w:noWrap/></w:tcPr><w:p><w:pPr/><w:r><w:rPr/><w:t xml:space="preserve">ՀԴՄ վաճառքի կտրոնի տպում</w:t></w:r></w:p></w:tc><w:tc><w:tcPr><w:tcW w:w="3360" w:type="dxa"/><w:noWrap/></w:tcPr><w:p><w:pPr/><w:r><w:rPr/><w:t xml:space="preserve">Կտրոնի տպման ժամը unix timestamp տեսքով</w:t></w:r></w:p></w:tc><w:tc><w:tcPr><w:tcW w:w="4260" w:type="dxa"/><w:noWrap/></w:tcPr><w:p><w:pPr/><w:r><w:rPr/><w:t xml:space="preserve"><time>  </w:t></w:r></w:p></w:tc></w:tr><w:tr><w:trPr/><w:tc><w:tcPr><w:tcW w:w="3360" w:type="dxa"/><w:noWrap/></w:tcPr><w:p><w:pPr/><w:r><w:rPr/><w:t xml:space="preserve">ՀԴՄ կտրոնի համարը</w:t></w:r></w:p></w:tc><w:tc><w:tcPr><w:tcW w:w="4260" w:type="dxa"/><w:noWrap/></w:tcPr><w:p><w:pPr/><w:r><w:rPr/><w:t xml:space="preserve"><id>     </w:t></w:r></w:p></w:tc></w:tr><w:tr><w:trPr/><w:tc><w:tcPr><w:tcW w:w="3360" w:type="dxa"/><w:noWrap/></w:tcPr><w:p><w:pPr/><w:r><w:rPr/><w:t xml:space="preserve">ՀԴՄ կտրոնի ֆիսկալ համարը</w:t></w:r></w:p></w:tc><w:tc><w:tcPr><w:tcW w:w="4260" w:type="dxa"/><w:noWrap/></w:tcPr><w:p><w:pPr/><w:r><w:rPr/><w:t xml:space="preserve"><lottery-info></w:t></w:r></w:p></w:tc></w:tr><w:tr><w:trPr/><w:tc><w:tcPr><w:tcW w:w="3360" w:type="dxa"/><w:noWrap/></w:tcPr><w:p><w:pPr/><w:r><w:rPr/><w:t xml:space="preserve">{<dId>:<totalWithTax>:<tax>} յուրաքանչյուր բաժնի համար, բաժանված ստորակետներով</w:t></w:r></w:p></w:tc><w:tc><w:tcPr><w:tcW w:w="4260" w:type="dxa"/><w:noWrap/></w:tcPr><w:p><w:pPr/><w:r><w:rPr/><w:t xml:space="preserve"><receipt-info>    </w:t></w:r></w:p></w:tc></w:tr><w:tr><w:trPr/><w:tc><w:tcPr><w:tcW w:w="3360" w:type="dxa"/><w:noWrap/></w:tcPr><w:p><w:pPr/><w:r><w:rPr/><w:t xml:space="preserve"> Բաժնի նույնականացման համարը</w:t></w:r></w:p></w:tc><w:tc><w:tcPr><w:tcW w:w="4260" w:type="dxa"/><w:noWrap/></w:tcPr><w:p><w:pPr/><w:r><w:rPr/><w:t xml:space="preserve"><dId>              </w:t></w:r></w:p></w:tc></w:tr><w:tr><w:trPr/><w:tc><w:tcPr><w:tcW w:w="3360" w:type="dxa"/><w:noWrap/></w:tcPr><w:p><w:pPr/><w:r><w:rPr/><w:t xml:space="preserve">Ընդհանուր գումարը տվյալ բաժնում՝ ներառյալ ԱԱՀ</w:t></w:r></w:p></w:tc><w:tc><w:tcPr><w:tcW w:w="4260" w:type="dxa"/><w:noWrap/></w:tcPr><w:p><w:pPr/><w:r><w:rPr/><w:t xml:space="preserve"><totalWithTax>     </w:t></w:r></w:p></w:tc></w:tr><w:tr><w:trPr/><w:tc><w:tcPr><w:tcW w:w="3360" w:type="dxa"/><w:noWrap/></w:tcPr><w:p><w:pPr/><w:r><w:rPr/><w:t xml:space="preserve">Ընդհանուր ԱԱՀ գումարը տվյալ բաժնում</w:t></w:r></w:p></w:tc><w:tc><w:tcPr><w:tcW w:w="4260" w:type="dxa"/><w:noWrap/></w:tcPr><w:p><w:pPr/><w:r><w:rPr/><w:t xml:space="preserve"><tax>       </w:t></w:r></w:p></w:tc></w:tr><w:tr><w:trPr/><w:tc><w:tcPr><w:tcW w:w="6015" w:type="dxa"/><w:gridSpan w:val="2"/><w:noWrap/></w:tcPr><w:p><w:pPr/><w:r><w:rPr/><w:t xml:space="preserve">Կտրոնի վերադարձ</w:t></w:r></w:p></w:tc><w:tc><w:tcPr><w:tcW w:w="4260" w:type="dxa"/><w:noWrap/></w:tcPr><w:p><w:pPr/><w:r><w:rPr/><w:t xml:space="preserve">p:<time>, <id>, <crn>, <serial></w:t></w:r></w:p></w:tc></w:tr><w:tr><w:trPr/><w:tc><w:tcPr><w:tcW w:w="2640" w:type="dxa"/><w:noWrap/></w:tcPr><w:p><w:pPr/><w:r><w:rPr/><w:t xml:space="preserve">Կտրոնի վերադարձ</w:t></w:r></w:p></w:tc><w:tc><w:tcPr><w:tcW w:w="3360" w:type="dxa"/><w:noWrap/></w:tcPr><w:p><w:pPr/><w:r><w:rPr/><w:t xml:space="preserve">Կտրոնի տպման ժամը unix timestamp տեսքով</w:t></w:r></w:p></w:tc><w:tc><w:tcPr><w:tcW w:w="4260" w:type="dxa"/><w:noWrap/></w:tcPr><w:p><w:pPr/><w:r><w:rPr/><w:t xml:space="preserve"><time>  </w:t></w:r></w:p></w:tc></w:tr><w:tr><w:trPr/><w:tc><w:tcPr><w:tcW w:w="3360" w:type="dxa"/><w:noWrap/></w:tcPr><w:p><w:pPr/><w:r><w:rPr/><w:t xml:space="preserve">Վերադարձվող կտրոնի համարը</w:t></w:r></w:p></w:tc><w:tc><w:tcPr><w:tcW w:w="4260" w:type="dxa"/><w:noWrap/></w:tcPr><w:p><w:pPr/><w:r><w:rPr/><w:t xml:space="preserve"><id>     </w:t></w:r></w:p></w:tc></w:tr><w:tr><w:trPr/><w:tc><w:tcPr><w:tcW w:w="3360" w:type="dxa"/><w:noWrap/></w:tcPr><w:p><w:pPr/><w:r><w:rPr/><w:t xml:space="preserve">Վերադարձի կտրոնի համարը</w:t></w:r></w:p></w:tc><w:tc><w:tcPr><w:tcW w:w="4260" w:type="dxa"/><w:noWrap/></w:tcPr><w:p><w:pPr/><w:r><w:rPr/><w:t xml:space="preserve"><tin>      </w:t></w:r></w:p></w:tc></w:tr><w:tr><w:trPr/><w:tc><w:tcPr><w:tcW w:w="3360" w:type="dxa"/><w:noWrap/></w:tcPr><w:p><w:pPr/><w:r><w:rPr/><w:t xml:space="preserve">ՀԴՄ գրանցման համար</w:t></w:r></w:p></w:tc><w:tc><w:tcPr><w:tcW w:w="4260" w:type="dxa"/><w:noWrap/></w:tcPr><w:p><w:pPr/><w:r><w:rPr/><w:t xml:space="preserve"><crn>    </w:t></w:r></w:p></w:tc></w:tr><w:tr><w:trPr/><w:tc><w:tcPr><w:tcW w:w="6015" w:type="dxa"/><w:gridSpan w:val="2"/><w:noWrap/></w:tcPr><w:p><w:pPr/><w:r><w:rPr/><w:t xml:space="preserve">Համաժամանակեցում</w:t></w:r></w:p></w:tc><w:tc><w:tcPr><w:tcW w:w="4260" w:type="dxa"/><w:noWrap/></w:tcPr><w:p><w:pPr/><w:r><w:rPr/><w:t xml:space="preserve">s:<time>, <status></w:t></w:r></w:p></w:tc></w:tr><w:tr><w:trPr/><w:tc><w:tcPr><w:tcW w:w="2640" w:type="dxa"/><w:noWrap/></w:tcPr><w:p><w:pPr/><w:r><w:rPr/><w:t xml:space="preserve">Համաժամանակեցում</w:t></w:r></w:p></w:tc><w:tc><w:tcPr><w:tcW w:w="3360" w:type="dxa"/><w:noWrap/></w:tcPr><w:p><w:pPr/><w:r><w:rPr/><w:t xml:space="preserve">Համաժամանակեցմանժամը unix timestamp տեսքով</w:t></w:r></w:p></w:tc><w:tc><w:tcPr><w:tcW w:w="4260" w:type="dxa"/><w:noWrap/></w:tcPr><w:p><w:pPr/><w:r><w:rPr/><w:t xml:space="preserve"><time>  </w:t></w:r></w:p></w:tc></w:tr><w:tr><w:trPr/><w:tc><w:tcPr><w:tcW w:w="3360" w:type="dxa"/><w:noWrap/></w:tcPr><w:p><w:pPr/><w:r><w:rPr/><w:t xml:space="preserve">1-   եթե համաժամանակեցումը հաջողվել է</w:t></w:r></w:p></w:tc><w:tc><w:tcPr><w:tcW w:w="4260" w:type="dxa"/><w:noWrap/></w:tcPr><w:p><w:pPr/><w:r><w:rPr/><w:t xml:space="preserve"><status></w:t></w:r></w:p></w:tc></w:tr><w:tr><w:trPr/><w:tc><w:tcPr><w:tcW w:w="3360" w:type="dxa"/><w:noWrap/></w:tcPr><w:p><w:pPr/><w:r><w:rPr/><w:t xml:space="preserve">0-  եթե համաժամանակեցումը չի հաջողվել</w:t></w:r></w:p></w:tc></w:tr></w:tbl><w:p><w:pPr/><w:r><w:rPr/><w:t xml:space="preserve"> </w:t></w:r></w:p><w:p><w:pPr/><w:r><w:rPr/><w:t xml:space="preserve">  2) Որոշման N3 հավելվածի՝</w:t></w:r></w:p><w:p><w:pPr/><w:r><w:rPr/><w:t xml:space="preserve">ա. 15-րդ կետում «որն» բառից հետո լրացնել «առավելագույնը 3 ժամվա ընթացքում» բառերը,</w:t></w:r></w:p><w:p><w:pPr/><w:r><w:rPr/><w:t xml:space="preserve">բ. 16-րդ կետը շարադրել նոր խմբագրությամբ՝</w:t></w:r></w:p><w:p><w:pPr/><w:r><w:rPr/><w:t xml:space="preserve">«16.  Սպասարկման կենտրոնը իրավասու ղեկավար անձի կողմից ՀԴՄ-ի անսարքության մասին տեղեկանալուց հետո Երևան քաղաքում 24 ժամվա ընթացքում, իսկ մարզերում 72 ժամվա ընթացքում ստուգում է անսարք ՀԴՄ-ն և անհրաժեշտության դեպքում ՀԴՄ կիրառող կազմակերպության ղեկավարի կամ պատասխանատու անձի հետ կազմում է ՀԴՄ-ն անսարք լինելու վերաբերյալ ակտ: ՀԴՄ կիրառողի պահանջով սպասարկման կենտրոնը Երևան քաղաքում 24 ժամվա ընթացքում, իսկ մարզերում 72 ժամվա ընթացքում ՀԴՄ կիրառողին տրամադրում է ժամանակավոր օգտագործման ՀԴՄ վերանորոգման աշխատանքների ամբողջ ժամանակահատվածի համար,  իսկ ՀԴՄ սարքի վերանորոգման անհնարինության մասին ակտ կազմելուց հետո՝ առավելագույնը 10 աշխատանքային օր ժամկետով:»,  </w:t></w:r></w:p><w:p><w:pPr/><w:r><w:rPr/><w:t xml:space="preserve">գ. 20-րդ կետն ուժը կորցրած ճանաչել: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782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FD3CC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2026-04-04T01:16:52+04:00</dcterms:created>
  <dcterms:modified xsi:type="dcterms:W3CDTF">2026-04-04T01:16:52+04:00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