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2006 ԹՎԱԿԱՆԻ ՕԳՈՍՏՈՍԻ 3-Ի ԹԻՎ 1543-Ն ՈՐՈՇՄԱՆ ՄԵՋ ԼՐԱՑՈՒՄ ԿԱՏԱՐԵԼՈՒ ՄԱUԻՆ»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        »________________ 2019թ.                                            Թիվ _____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ՕԳՈՍՏՈՍԻ 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ԹԻՎ 1543-Ն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3-ի «Հայաստանի Հանրապետության արդարադատության նախարարության քրեակատարողական ծառայության՝ կալանավորվածներին պահելու վայրերի և ուղղիչ հիմնարկների ներքին կանոնակարգը հաստատելու մասին» թիվ 1543-Ն որոշմամբ հաստատված հավելվածի (այսուհետ՝ Հավելված) ձև 2-ը լրացնել հետևյալ բովանդակությամբ «15.1» կետով.</w:t>
      </w:r>
    </w:p>
    <w:p>
      <w:pPr/>
      <w:r>
        <w:rPr/>
        <w:t xml:space="preserve">«15.1 ցանկացած տեսակի դեղորայք, եթե առկա չէ բժշկական ստորաբաժանման թույլտվությունը և բժշկի ցուցումը, բացառությամբ բաց ուղղիչ հիմնարկի դատապարտյալների»:</w:t>
      </w:r>
    </w:p>
    <w:p>
      <w:pPr>
        <w:numPr>
          <w:ilvl w:val="0"/>
          <w:numId w:val="3"/>
        </w:numPr>
      </w:pPr>
      <w:r>
        <w:rPr/>
        <w:t xml:space="preserve">Uույն որոշումն ուժի մեջ է մտնում պաշտոնական հրապարակմանը հաջորդող տասներորդ oրը: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F17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3BE0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2026-04-03T22:15:40+04:00</dcterms:created>
  <dcterms:modified xsi:type="dcterms:W3CDTF">2026-04-03T22:15:40+04:00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