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ԴՐՈՇԻ ՄԱՍԻՆ» ՀԱՅԱՍՏԱՆԻ ՀԱՆՐԱՊԵՏՈՒԹՅԱՆ ՕՐԵՆՔՈՒՄ ՓՈՓՈԽՈՒԹՅՈՒՆՆԵՐ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            ՕՐԵՆՔԸ           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ՀԱՅԱՍՏԱՆԻ ՀԱՆՐԱՊԵՏՈՒԹՅԱՆ ԴՐՈՇԻ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»</w:t>
      </w:r>
      <w:r>
        <w:rPr>
          <w:b w:val="1"/>
          <w:bCs w:val="1"/>
        </w:rPr>
        <w:t xml:space="preserve"> ՀԱՅԱՍՏԱՆԻ ՀԱՆՐԱՊԵՏՈՒԹՅԱՆ ՕՐԵՆՔՈՒՄ ՓՈՓՈԽՈՒԹՅՈՒՆՆԵՐ ԿԱՏԱՐԵԼՈՒ ՄԱՍԻՆ</w:t>
      </w:r>
    </w:p>
    <w:p>
      <w:pPr>
        <w:jc w:val="center"/>
      </w:pPr>
      <w:r>
        <w:rPr/>
        <w:t xml:space="preserve"> </w:t>
      </w:r>
    </w:p>
    <w:p>
      <w:pPr/>
      <w:r>
        <w:rPr>
          <w:b w:val="1"/>
          <w:bCs w:val="1"/>
        </w:rPr>
        <w:t xml:space="preserve">Հոդված 1. «Հայաստանի Հանրապետության դրոշի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</w:t>
      </w:r>
      <w:r>
        <w:rPr>
          <w:b w:val="1"/>
          <w:bCs w:val="1"/>
        </w:rPr>
        <w:t xml:space="preserve">ն» </w:t>
      </w:r>
      <w:r>
        <w:rPr/>
        <w:t xml:space="preserve">2006 թվականի հունիսի 15-ի ՀՕ-149-Ն օրենքի (այսուհետ՝ Օրենք) 3-րդ հոդվածը շարադրել նոր խմբագրությամբ՝ հետևյալ բովանդակությամբ.</w:t>
      </w:r>
    </w:p>
    <w:tbl>
      <w:tblGrid>
        <w:gridCol w:w="135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1350" w:type="dxa"/>
            <w:noWrap/>
          </w:tcPr>
          <w:p>
            <w:pPr/>
            <w:r>
              <w:rPr>
                <w:b w:val="1"/>
                <w:bCs w:val="1"/>
              </w:rPr>
              <w:t xml:space="preserve">«Հոդված 3.</w:t>
            </w:r>
          </w:p>
        </w:tc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Հա</w:t>
            </w:r>
            <w:r>
              <w:rPr>
                <w:b w:val="1"/>
                <w:bCs w:val="1"/>
              </w:rPr>
              <w:t xml:space="preserve">յաստանի Հանրապետության դրոշի գործածումը</w:t>
            </w:r>
          </w:p>
        </w:tc>
      </w:tr>
    </w:tbl>
    <w:p>
      <w:pPr>
        <w:numPr>
          <w:ilvl w:val="0"/>
          <w:numId w:val="2"/>
        </w:numPr>
      </w:pPr>
      <w:r>
        <w:rPr/>
        <w:t xml:space="preserve">Հայաստանի Հանրապետության դրոշը մշտապես բարձրացվում է` Հանրապետության նախագահի նստավայրի, Ազգային ժողովի,Կառավարության, Սահմանադրական դատարանի, դատարանների, դատախազության մարմինների, Մարդուիրավունքների պաշտպանի, Կենտրոնական բանկի, պետական  կառավարման համակարգի մարմինների, ինքնավար պետական մարմինների, անկախ պետական մարմինների, պետական այլ մարմինների, մարզպետարանների և համայնքապետարանների (այդ թվում՝ Երևանի քաղաքապետարանի) շենքերի վրա: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դրոշը մշտապես պետք է բարձրացվի օտարերկրյա պետությունների տարածքում գտնվող` Հայաստանի Հանրապետության դիվանագիտական ծառայության մարմինների (դեսպանատների, ներկայացուցչությունների, հյուպատոսական հիմնարկների) և Հայաստանի Հանրապետության այլ պաշտոնական ներկայացուցչությունների շենքերի վրա` միջազգային իրավունքի նորմերին, դիվանագիտական արարողակարգի կանոններին և ընդունող պետությունների սովորույթներին համապատասխան: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դրոշը բարձրացվում է Հայաստանի Հանրապետության մարզական պաշտոնական առաջնությունների բացման և իջեցվում է փակման արարողությունների ժամանակ: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դրոշը մշտապես տեղադրվում է՝</w:t>
      </w:r>
    </w:p>
    <w:p>
      <w:pPr/>
      <w:r>
        <w:rPr/>
        <w:t xml:space="preserve">պաշտոնական, աշխատանքային և հանդիսավոր արարողությունների համար նախատեսված` Հանրապետության նախագահի նստավայրի, Ազգային ժողովի, Կառավարության, դատարանների դատական նիստերի, կենտրոնական ընտրական հանձնաժողովի նիստերի դահլիճներում: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դրոշը տեղադրվում է`</w:t>
      </w:r>
    </w:p>
    <w:p>
      <w:pPr/>
      <w:r>
        <w:rPr/>
        <w:t xml:space="preserve">Հանրապետության նախագահի, Ազգային ժողովի նախագահի և Ազգային ժողովի այլ մարմինների, վարչապետի, Սահմանադրական դատարանի նախագահի, Հանրապետության նախագահի աշխատակազմի ղեկավարի, Վարչապետի աշխատակազմի ղեկավարի, Ազգային ժողովի աշխատակազմի ղեկավարի, Կենտրոնական բանկի նախագահի, Հաշվեքննիչ պալատի նախագահի, Մարդու իրավունքների պաշտպանի, ինքնավար և անկախ պետական մարմինների, պետական կառավարման համակարգի մարմինների, պետական այլ մարմինների ղեկավարների, դատավորների և դատախազների, մարզպետների և համայնքների ղեկավարների, օտարերկրյա պետությունների տարածքում գտնվող` Հայաստանի Հանրապետության դիվանագիտական ծառայության մարմինների (դեսպանատների, ներկայացուցչությունների, հյուպատոսական հիմնարկների) ղեկավարների աշխատասենյակներում, ուսումնական հաստատությունների սրահներից կամ նախասրահներից մեկում:</w:t>
      </w:r>
    </w:p>
    <w:p>
      <w:pPr>
        <w:numPr>
          <w:ilvl w:val="0"/>
          <w:numId w:val="4"/>
        </w:numPr>
      </w:pPr>
      <w:r>
        <w:rPr/>
        <w:t xml:space="preserve">Սույն հոդվածով նախատեսված դեպքերից բացի, Հայաստանի Հանրապետության դրոշը կարող է տեղադրվել այլ վայրերում, շենքերի, շինությունների, այդ թվում` բնակելի շենքերի վրա:</w:t>
      </w:r>
    </w:p>
    <w:p>
      <w:pPr>
        <w:numPr>
          <w:ilvl w:val="0"/>
          <w:numId w:val="4"/>
        </w:numPr>
      </w:pPr>
      <w:r>
        <w:rPr/>
        <w:t xml:space="preserve">Հայաստանի Հանրապետության դրոշը կարող է ամրացվել՝</w:t>
      </w:r>
    </w:p>
    <w:p>
      <w:pPr/>
      <w:r>
        <w:rPr/>
        <w:t xml:space="preserve">Հանրապետության նախագահի փոխադրամիջոցների վրա, Ազգային ժողովի նախագահի, վարչապետի, Հայաստանի Հանրապետության արտաքին գործերի նախարարի փոխադրամիջոցների վրա` միայն արտասահմանյան պատվիրակությունների այցերի ժամանակ` Հայաստանի Հանրապետության պետական արարողակարգի հիմնադրույթներին համապատասխան, ինչպես նաև Հայաստանի Հանրապետության պաշտոնական պատվիրակությունների ղեկավարների, դիվանագիտական և մշտական ներկայացուցչությունների ղեկավարների փոխադրամիջոցների վրա` ընդունող պետությունների արարողակարգին համապատասխան:</w:t>
      </w:r>
    </w:p>
    <w:p>
      <w:pPr>
        <w:numPr>
          <w:ilvl w:val="0"/>
          <w:numId w:val="5"/>
        </w:numPr>
      </w:pPr>
      <w:r>
        <w:rPr/>
        <w:t xml:space="preserve">ՀայաստանիՀանրապետության սահմանադրական պաշտոններում նշանակվող անձանց կամ օրենքով սահմանված այլ անձանց երդման արարողությունն իրականացվում է Հայաստանի Հանրապետության դրոշի ներքո:</w:t>
      </w:r>
    </w:p>
    <w:p>
      <w:pPr>
        <w:numPr>
          <w:ilvl w:val="0"/>
          <w:numId w:val="5"/>
        </w:numPr>
      </w:pPr>
      <w:r>
        <w:rPr/>
        <w:t xml:space="preserve">Սույն հոդվածով նախատեսված դեպքերից բացի, Հայաստանի Հանրապետության դրոշի և դրա պատկերի գործածման կարգը, ինչպես նաև Հայաստանի Հանրապետության դրոշի ընդհանուր տեխնիկական պայմանները սահմանում է Հայաստանի Հանրապետության կառավարությունը:»: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Ուժը կորցրած ճանաչել Օրենքի 12-րդ հոդվածի 1-ին մասը:    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3. 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85EC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027B727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3D8CB7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86E95B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2026-03-31T03:55:49+04:00</dcterms:created>
  <dcterms:modified xsi:type="dcterms:W3CDTF">2026-03-31T03:55:49+04:00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