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«Փոքր ՀԷԿ-երի կառուցման և շահագործման համար շրջակա միջավայրի վրա ազդեցության գնահատման չափորոշիչները հաստատելու մասին» Կառավարության  որոշման նախագ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«----» --------------  2018 թվականի N ------  -L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ԿԱՌՈՒՑՄԱՆ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ՇԱՀԱԳՈՐԾՄԱՆ 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ՉԱՓՈՐՈՇԻՉՆԵՐԸ ՀԱՍՏԱՏԵԼՈՒ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  Հայաստանի Հանրապետության Սահմանադրության 146-րդ հոդվածը, «Նորմատիվ իրավական ակտերի մասին» օրենքի 1-ին հոդվածի 2-րդ մասը և 37-րդ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</w:t>
      </w:r>
      <w:r>
        <w:rPr>
          <w:b w:val="1"/>
          <w:bCs w:val="1"/>
        </w:rPr>
        <w:t xml:space="preserve">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կառուցման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շահագործման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չափորոշիչները՝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2018 թվականի մարտի 1-ի նիստի N 8 արձանագրության 6-րդ կետով հավանության արժանացած «Փոքր հիդրոէլեկտրակայանների կառուցման և շահագործման համար շրջակա միջավայրի վրա ազդեցության գնահատման չափորոշիչներին հավանություն տալու մասին» արձանագրային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Կառավարության 2018 թվականի</w:t>
      </w:r>
    </w:p>
    <w:p>
      <w:pPr>
        <w:jc w:val="end"/>
      </w:pPr>
      <w:r>
        <w:rPr/>
        <w:t xml:space="preserve">----------------- --- -ի N    -L որոշման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ՉԱՓՈՐՈՇԻՉՆԵՐ</w:t>
      </w:r>
    </w:p>
    <w:p>
      <w:pPr>
        <w:jc w:val="center"/>
      </w:pPr>
      <w:r>
        <w:rPr>
          <w:b w:val="1"/>
          <w:bCs w:val="1"/>
        </w:rPr>
        <w:t xml:space="preserve"> 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ԿԱՌՈՒՑՄԱՆ</w:t>
      </w:r>
      <w:r>
        <w:rPr/>
        <w:t xml:space="preserve"> </w:t>
      </w:r>
      <w:r>
        <w:rPr>
          <w:b w:val="1"/>
          <w:bCs w:val="1"/>
        </w:rPr>
        <w:t xml:space="preserve">ԵՎ ՇԱՀԱԳՈՐԾՄԱՆ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Սույնով հավանություն է տրվում փոքր հիդրոէլեկտրակայանների կառուցման և շահագործման համար շրջակա միջավայրի վրա ազդեցության գնահատման չափորոշիչներին:</w:t>
      </w:r>
    </w:p>
    <w:p>
      <w:pPr>
        <w:numPr>
          <w:ilvl w:val="0"/>
          <w:numId w:val="3"/>
        </w:numPr>
      </w:pPr>
      <w:r>
        <w:rPr/>
        <w:t xml:space="preserve">Շրջակա միջավայրի վրա փոքր հիդրոէլեկտրակայանների վնասակար ազդեցությունները կանխարգելելու կամ նվազեցնելու նպատակով, փոքր հիդրոէլեկտրակայանների կառուցման և շահագործման համար նախատեսել հետևյալ չափորոշիչները՝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Կարմիր գրքում գրանցված և/կամ տեղանքին բնորոշ էնդեմիկ ձկնատեսակների, ջրային կենդանիների ու բույսերի առկայություն,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տարածքին բնորոշ՝ էնդեմիկ ձկնատեսակների ձվադրավայրերի առկայություն,</w:t>
      </w:r>
    </w:p>
    <w:p>
      <w:pPr>
        <w:numPr>
          <w:ilvl w:val="0"/>
          <w:numId w:val="4"/>
        </w:numPr>
      </w:pPr>
      <w:r>
        <w:rPr/>
        <w:t xml:space="preserve">դերիվացիոն խողովակներով 40 տոկոս և ավելի գետի ծանրաբեռնվածության առկայություն,</w:t>
      </w:r>
    </w:p>
    <w:p>
      <w:pPr>
        <w:numPr>
          <w:ilvl w:val="0"/>
          <w:numId w:val="4"/>
        </w:numPr>
      </w:pPr>
      <w:r>
        <w:rPr/>
        <w:t xml:space="preserve">ջրօգտագործման թույլտվությամբ սահմանված էկոլոգիական թողքի մեծությունը չգերազանցող փաստացի ջրային հոսքի պահապանում գետահատվածում,</w:t>
      </w:r>
    </w:p>
    <w:p>
      <w:pPr>
        <w:numPr>
          <w:ilvl w:val="0"/>
          <w:numId w:val="4"/>
        </w:numPr>
      </w:pPr>
      <w:r>
        <w:rPr/>
        <w:t xml:space="preserve">ջրաէկոհամակարգերի սանիտարական պահպանման գոտիների առկայություն, որոնց չափորոշիչները սահմանված են Հայաստանի Հանրապետության կառավարության 2005թ. հունվարի 20-ի N 64-Ն որոշման հավելվածի 3-րդ կետով,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բնության</w:t>
      </w:r>
      <w:r>
        <w:rPr>
          <w:b w:val="1"/>
          <w:bCs w:val="1"/>
        </w:rPr>
        <w:t xml:space="preserve"> հուշարձանների 150 մետր շառավղով </w:t>
      </w:r>
      <w:r>
        <w:rPr>
          <w:b w:val="1"/>
          <w:bCs w:val="1"/>
        </w:rPr>
        <w:t xml:space="preserve">հարակից տարածքների</w:t>
      </w:r>
      <w:r>
        <w:rPr/>
        <w:t xml:space="preserve"> առկայություն,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սողանքային տարածքների առկայություն,</w:t>
      </w:r>
    </w:p>
    <w:p>
      <w:pPr>
        <w:numPr>
          <w:ilvl w:val="0"/>
          <w:numId w:val="4"/>
        </w:numPr>
      </w:pPr>
      <w:r>
        <w:rPr/>
        <w:t xml:space="preserve">փոքր հիդրոէլեկտրակայանների </w:t>
      </w:r>
      <w:r>
        <w:rPr>
          <w:b w:val="1"/>
          <w:bCs w:val="1"/>
        </w:rPr>
        <w:t xml:space="preserve">շինարարական տարածքին մոտեցող ճանապարհների առկայություն կամ ճանապարհների կառուցման անհրաժեշտություն,</w:t>
      </w:r>
    </w:p>
    <w:p>
      <w:pPr>
        <w:numPr>
          <w:ilvl w:val="0"/>
          <w:numId w:val="4"/>
        </w:numPr>
      </w:pPr>
      <w:r>
        <w:rPr/>
        <w:t xml:space="preserve">կառուցվող փոքր հիդրոէլեկտրակայանների </w:t>
      </w:r>
      <w:r>
        <w:rPr>
          <w:b w:val="1"/>
          <w:bCs w:val="1"/>
        </w:rPr>
        <w:t xml:space="preserve">հեռավորությունը մոտակա բնակավայրից,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աղմուկի ազդեցությունը շրջակա միջավայրի և մարդու առողջության վրա: </w:t>
      </w:r>
    </w:p>
    <w:p>
      <w:pPr>
        <w:numPr>
          <w:ilvl w:val="0"/>
          <w:numId w:val="5"/>
        </w:numPr>
      </w:pPr>
      <w:r>
        <w:rPr/>
        <w:t xml:space="preserve">Սույն հավելվածի 2-րդ կետով նախատեսված չափորոշիչների գործողությունը չի տարածվում փոքր հիդրոէլեկտրակայանների կառուցման կամ շահագործման համար արդեն իսկ ջրօգտագործման թույլտվություն ստացած փոքր հիդրոէլեկտրակայանների վրա: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A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F7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A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8928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2026-03-31T12:55:35+04:00</dcterms:created>
  <dcterms:modified xsi:type="dcterms:W3CDTF">2026-03-31T12:55:35+04:00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