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ՈՉ ՖՈՐՄԱԼ ԵՎ ԻՆՖՈՐՄԱԼ ՈՒՍՈՒՄՆԱՌՈՒԹՅԱՆ ԱՐԴՅՈՒՆՔՆԵՐԻ ԳՆԱՀԱՏՄԱՆ ԵՎ ՃԱՆԱՉՄԱՆ ԿԱՐԳԸ ՍԱՀՄԱՆԵԼՈՒ ԵՎ ՀԱՅԱՍՏԱՆԻ ՀԱՆՐԱՊԵՏՈՒԹՅԱՆ ԿԱՌԱՎԱՐՈՒԹՅԱՆ 2015 ԹՎԱԿԱՆԻ ՍԵՊՏԵՄԲԵՐԻ 10-Ի N 1062-Ն ՈՐՈՇՄԱՆ ՄԵՋ ՓՈՓՈԽՈՒԹՅՈՒՆ ԿԱՏԱՐԵԼՈՒ ՄԱՍԻՆ</w:t>
      </w:r>
      <w:bookmarkEnd w:id="0"/>
    </w:p>
    <w:p>
      <w:pPr>
        <w:jc w:val="end"/>
        <w:ind w:left="0" w:right="0" w:firstLine="375"/>
        <w:spacing w:after="0"/>
      </w:pPr>
      <w:r>
        <w:rPr>
          <w:rFonts w:ascii="'GHEA Grapalat'" w:hAnsi="'GHEA Grapalat'" w:eastAsia="'GHEA Grapalat'" w:cs="'GHEA Grapalat'"/>
          <w:lang w:val="hy-HY"/>
          <w:color w:val="333333"/>
          <w:b w:val="1"/>
          <w:bCs w:val="1"/>
        </w:rPr>
        <w:t xml:space="preserve">ՆԱԽԱԳԻԾ</w:t>
      </w:r>
    </w:p>
    <w:p>
      <w:pPr>
        <w:jc w:val="center"/>
        <w:ind w:left="0" w:right="0" w:firstLine="375"/>
        <w:spacing w:after="0"/>
      </w:pPr>
      <w:r>
        <w:rPr>
          <w:rFonts w:ascii="'Arial'" w:hAnsi="'Arial'" w:eastAsia="'Arial'" w:cs="'Arial'"/>
          <w:color w:val="333333"/>
          <w:sz w:val="27"/>
          <w:szCs w:val="27"/>
          <w:b w:val="1"/>
          <w:bCs w:val="1"/>
        </w:rPr>
        <w:t xml:space="preserve"> </w:t>
      </w:r>
    </w:p>
    <w:p>
      <w:pPr>
        <w:jc w:val="center"/>
        <w:ind w:left="0" w:right="0" w:firstLine="375"/>
        <w:spacing w:after="0"/>
      </w:pPr>
      <w:r>
        <w:rPr>
          <w:rFonts w:ascii="'Arial'" w:hAnsi="'Arial'" w:eastAsia="'Arial'" w:cs="'Arial'"/>
          <w:color w:val="333333"/>
          <w:sz w:val="27"/>
          <w:szCs w:val="27"/>
          <w:b w:val="1"/>
          <w:bCs w:val="1"/>
        </w:rPr>
        <w:t xml:space="preserve"> </w:t>
      </w:r>
    </w:p>
    <w:p>
      <w:pPr>
        <w:jc w:val="center"/>
        <w:ind w:left="0" w:right="0" w:firstLine="375"/>
        <w:spacing w:after="0"/>
      </w:pPr>
      <w:r>
        <w:rPr>
          <w:rFonts w:ascii="'Arial'" w:hAnsi="'Arial'" w:eastAsia="'Arial'" w:cs="'Arial'"/>
          <w:color w:val="333333"/>
          <w:sz w:val="27"/>
          <w:szCs w:val="27"/>
          <w:b w:val="1"/>
          <w:bCs w:val="1"/>
        </w:rPr>
        <w:t xml:space="preserve"> </w:t>
      </w:r>
    </w:p>
    <w:p>
      <w:pPr>
        <w:jc w:val="center"/>
        <w:ind w:left="0" w:right="0" w:firstLine="375"/>
        <w:spacing w:after="0"/>
      </w:pPr>
      <w:r>
        <w:rPr>
          <w:rFonts w:ascii="'Arial'" w:hAnsi="'Arial'" w:eastAsia="'Arial'" w:cs="'Arial'"/>
          <w:color w:val="333333"/>
          <w:sz w:val="27"/>
          <w:szCs w:val="27"/>
          <w:b w:val="1"/>
          <w:bCs w:val="1"/>
        </w:rPr>
        <w:t xml:space="preserve"> </w:t>
      </w:r>
    </w:p>
    <w:p>
      <w:pPr>
        <w:jc w:val="center"/>
        <w:ind w:left="0" w:right="0" w:firstLine="375"/>
        <w:spacing w:after="0"/>
      </w:pPr>
      <w:r>
        <w:rPr>
          <w:rFonts w:ascii="'Arial'" w:hAnsi="'Arial'" w:eastAsia="'Arial'" w:cs="'Arial'"/>
          <w:color w:val="333333"/>
          <w:sz w:val="27"/>
          <w:szCs w:val="27"/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rFonts w:ascii="'Arial'" w:hAnsi="'Arial'" w:eastAsia="'Arial'" w:cs="'Arial'"/>
          <w:color w:val="333333"/>
          <w:sz w:val="36"/>
          <w:szCs w:val="36"/>
          <w:b w:val="1"/>
          <w:bCs w:val="1"/>
        </w:rPr>
        <w:t xml:space="preserve">Ո Ր Ո Շ ՈՒ Մ</w:t>
      </w:r>
      <w:br/>
      <w:br/>
      <w:r>
        <w:rPr>
          <w:rFonts w:ascii="'Arial'" w:hAnsi="'Arial'" w:eastAsia="'Arial'" w:cs="'Arial'"/>
          <w:lang w:val="hy-HY"/>
          <w:color w:val="333333"/>
          <w:sz w:val="24"/>
          <w:szCs w:val="24"/>
        </w:rPr>
        <w:t xml:space="preserve">---------------</w:t>
      </w:r>
    </w:p>
    <w:p>
      <w:pPr>
        <w:jc w:val="center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  <w:b w:val="1"/>
          <w:bCs w:val="1"/>
        </w:rPr>
        <w:t xml:space="preserve"> </w:t>
      </w:r>
      <w:r>
        <w:rPr>
          <w:rFonts w:ascii="'Arial'" w:hAnsi="'Arial'" w:eastAsia="'Arial'" w:cs="'Arial'"/>
          <w:lang w:val="hy-HY"/>
          <w:color w:val="333333"/>
          <w:sz w:val="24"/>
          <w:szCs w:val="24"/>
          <w:b w:val="1"/>
          <w:bCs w:val="1"/>
        </w:rPr>
        <w:t xml:space="preserve">ՈՉ ՖՈՐՄԱԼ ԵՎ ԻՆՖՈՐՄԱԼ ՈՒՍՈՒՄՆԱՌՈՒԹՅԱՆ ԱՐԴՅՈՒՆՔՆԵՐԻ ԳՆԱՀԱՏՄԱՆ ԵՎ ՃԱՆԱՉՄԱՆ ԿԱՐԳԸ ՍԱՀՄԱՆԵԼՈՒ ԵՎ ՀԱՅԱՍՏԱՆԻ ՀԱՆՐԱՊԵՏՈՒԹՅԱՆ ԿԱՌԱՎԱՐՈՒԹՅԱՆ 2015 ԹՎԱԿԱՆԻ ՍԵՊՏԵՄԲԵՐԻ 10-Ի N 1062-Ն ՈՐՈՇՄԱՆ ՄԵՋ ՓՈՓՈԽՈՒԹՅՈՒՆ ԿԱՏԱՐԵԼՈՒ ՄԱՍԻՆ</w:t>
      </w:r>
    </w:p>
    <w:p>
      <w:pPr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Կրթության մասին» օրենքի 26.1-րդ հոդվածի 6-րդ մասին և «Նորմատիվ իրավական ակտերի մասին» օրենքի 33-րդ և 34-րդ հոդվածներին համապատասխան` Հայաստանի Հանրապետության կառավարությունը</w:t>
      </w:r>
      <w:r>
        <w:rPr>
          <w:rFonts w:ascii="'Calibri'" w:hAnsi="'Calibri'" w:eastAsia="'Calibri'" w:cs="'Calibri'"/>
          <w:lang w:val="hy-HY"/>
          <w:color w:val="333333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որոշում է.</w:t>
      </w:r>
    </w:p>
    <w:p>
      <w:pPr>
        <w:jc w:val="both"/>
        <w:ind w:left="0" w:right="0" w:firstLine="375"/>
        <w:spacing w:after="0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1.«Սահմանել՝ ոչ ֆորմալ և ինֆորմալ ուսումնառության արդյունքների գնահատման և ճանաչման կարգը՝ համաձայն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հավելվածի»:</w:t>
      </w:r>
    </w:p>
    <w:p>
      <w:pPr>
        <w:jc w:val="both"/>
        <w:ind w:left="0" w:right="0" w:firstLine="375"/>
        <w:spacing w:after="0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2.Հայաստանի Հանրապետության կառավարության 2015 թվականի սեպտեմբերի 10-ի «Լրացուցիչ կրթական ծրագրերի կազմակերպման և իրականացման կարգը, ինչպես նաև ոչ ֆորմալ և ինֆորմալ ուսուցման արդյունքների գնահատման և ճանաչման կարգը սահմանելու մասին» N 1062-Ն Որոշման 1-ին կետի 2-րդ ենթակետը ուժը կորցրած ճանաչել: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3.Սույն որոշումն ուժի մեջ է մտնում պաշտոնական հրապարակմանը հաջորդող օրվանից:</w:t>
      </w:r>
    </w:p>
    <w:p>
      <w:pPr>
        <w:jc w:val="both"/>
        <w:ind w:left="0" w:right="0" w:firstLine="375"/>
        <w:spacing w:after="0"/>
      </w:pPr>
      <w:r>
        <w:rPr>
          <w:rFonts w:ascii="'Calibri'" w:hAnsi="'Calibri'" w:eastAsia="'Calibri'" w:cs="'Calibri'"/>
          <w:lang w:val="hy-HY"/>
          <w:color w:val="333333"/>
          <w:sz w:val="24"/>
          <w:szCs w:val="24"/>
        </w:rPr>
        <w:t xml:space="preserve"> </w:t>
      </w:r>
    </w:p>
    <w:p>
      <w:pPr>
        <w:jc w:val="both"/>
        <w:ind w:left="0" w:right="0" w:firstLine="709"/>
        <w:spacing w:after="0"/>
      </w:pPr>
      <w:r>
        <w:rPr>
          <w:lang w:val="hy-HY"/>
        </w:rPr>
        <w:t xml:space="preserve"> </w:t>
      </w:r>
    </w:p>
    <w:p>
      <w:pPr>
        <w:jc w:val="both"/>
        <w:ind w:left="0" w:right="0" w:firstLine="709"/>
        <w:spacing w:after="0"/>
      </w:pPr>
      <w:r>
        <w:rPr>
          <w:lang w:val="hy-HY"/>
        </w:rPr>
        <w:t xml:space="preserve"> </w:t>
      </w:r>
    </w:p>
    <w:p>
      <w:pPr>
        <w:spacing w:after="0"/>
      </w:pPr>
      <w:r>
        <w:rPr>
          <w:rFonts w:ascii="'Arial'" w:hAnsi="'Arial'" w:eastAsia="'Arial'" w:cs="'Arial'"/>
          <w:lang w:val="hy-HY"/>
          <w:color w:val="333333"/>
          <w:b w:val="1"/>
          <w:bCs w:val="1"/>
        </w:rPr>
        <w:t xml:space="preserve">Հայաստանի Հանրապետության</w:t>
      </w:r>
      <w:r>
        <w:rPr>
          <w:rFonts w:ascii="'Arial'" w:hAnsi="'Arial'" w:eastAsia="'Arial'" w:cs="'Arial'"/>
          <w:lang w:val="hy-HY"/>
          <w:color w:val="333333"/>
          <w:b w:val="1"/>
          <w:bCs w:val="1"/>
        </w:rPr>
        <w:t xml:space="preserve">                          </w:t>
      </w:r>
      <w:r>
        <w:rPr>
          <w:rFonts w:ascii="'Arial'" w:hAnsi="'Arial'" w:eastAsia="'Arial'" w:cs="'Arial'"/>
          <w:lang w:val="hy-HY"/>
          <w:color w:val="333333"/>
          <w:b w:val="1"/>
          <w:bCs w:val="1"/>
        </w:rPr>
        <w:t xml:space="preserve">Ն. Փաշինյան</w:t>
      </w:r>
      <w:br/>
      <w:r>
        <w:rPr>
          <w:rFonts w:ascii="'Arial'" w:hAnsi="'Arial'" w:eastAsia="'Arial'" w:cs="'Arial'"/>
          <w:lang w:val="hy-HY"/>
          <w:color w:val="333333"/>
          <w:b w:val="1"/>
          <w:bCs w:val="1"/>
        </w:rPr>
        <w:t xml:space="preserve">վարչապետ</w:t>
      </w:r>
    </w:p>
    <w:p>
      <w:pPr>
        <w:spacing w:after="0"/>
      </w:pPr>
      <w:r>
        <w:rPr>
          <w:rFonts w:ascii="'Arial'" w:hAnsi="'Arial'" w:eastAsia="'Arial'" w:cs="'Arial'"/>
          <w:lang w:val="hy-HY"/>
          <w:color w:val="333333"/>
          <w:b w:val="1"/>
          <w:bCs w:val="1"/>
        </w:rPr>
        <w:t xml:space="preserve"> </w:t>
      </w:r>
    </w:p>
    <w:p>
      <w:pPr>
        <w:spacing w:after="0"/>
      </w:pPr>
      <w:r>
        <w:rPr>
          <w:rFonts w:ascii="'Arial'" w:hAnsi="'Arial'" w:eastAsia="'Arial'" w:cs="'Arial'"/>
          <w:lang w:val="hy-HY"/>
          <w:color w:val="333333"/>
          <w:b w:val="1"/>
          <w:bCs w:val="1"/>
        </w:rPr>
        <w:t xml:space="preserve"> </w:t>
      </w:r>
    </w:p>
    <w:p>
      <w:pPr>
        <w:spacing w:after="0"/>
      </w:pPr>
      <w:r>
        <w:rPr>
          <w:rFonts w:ascii="'Arial'" w:hAnsi="'Arial'" w:eastAsia="'Arial'" w:cs="'Arial'"/>
          <w:lang w:val="hy-HY"/>
          <w:color w:val="333333"/>
          <w:b w:val="1"/>
          <w:bCs w:val="1"/>
        </w:rPr>
        <w:t xml:space="preserve"> </w:t>
      </w:r>
    </w:p>
    <w:p>
      <w:pPr>
        <w:spacing w:before="0" w:after="0"/>
      </w:pPr>
      <w:r>
        <w:rPr>
          <w:rFonts w:ascii="'Arial'" w:hAnsi="'Arial'" w:eastAsia="'Arial'" w:cs="'Arial'"/>
          <w:lang w:val="hy-HY"/>
          <w:color w:val="333333"/>
          <w:b w:val="1"/>
          <w:bCs w:val="1"/>
        </w:rPr>
        <w:t xml:space="preserve">2026թ. «------»</w:t>
      </w:r>
      <w:r>
        <w:rPr>
          <w:rFonts w:ascii="'Arial'" w:hAnsi="'Arial'" w:eastAsia="'Arial'" w:cs="'Arial'"/>
          <w:lang w:val="hy-HY"/>
          <w:color w:val="333333"/>
          <w:b w:val="1"/>
          <w:bCs w:val="1"/>
        </w:rPr>
        <w:t xml:space="preserve">   </w:t>
      </w:r>
      <w:r>
        <w:rPr>
          <w:rFonts w:ascii="'Arial'" w:hAnsi="'Arial'" w:eastAsia="'Arial'" w:cs="'Arial'"/>
          <w:lang w:val="hy-HY"/>
          <w:color w:val="333333"/>
          <w:b w:val="1"/>
          <w:bCs w:val="1"/>
        </w:rPr>
        <w:t xml:space="preserve">«</w:t>
      </w:r>
      <w:r>
        <w:rPr>
          <w:rFonts w:ascii="'Arial'" w:hAnsi="'Arial'" w:eastAsia="'Arial'" w:cs="'Arial'"/>
          <w:lang w:val="hy-HY"/>
          <w:color w:val="333333"/>
          <w:b w:val="1"/>
          <w:bCs w:val="1"/>
        </w:rPr>
        <w:t xml:space="preserve">   </w:t>
      </w:r>
      <w:r>
        <w:rPr>
          <w:rFonts w:ascii="'Arial'" w:hAnsi="'Arial'" w:eastAsia="'Arial'" w:cs="'Arial'"/>
          <w:lang w:val="hy-HY"/>
          <w:color w:val="333333"/>
          <w:b w:val="1"/>
          <w:bCs w:val="1"/>
        </w:rPr>
        <w:t xml:space="preserve">»</w:t>
      </w:r>
    </w:p>
    <w:p>
      <w:pPr>
        <w:spacing w:before="0" w:after="0"/>
      </w:pPr>
      <w:r>
        <w:rPr>
          <w:rFonts w:ascii="'Arial'" w:hAnsi="'Arial'" w:eastAsia="'Arial'" w:cs="'Arial'"/>
          <w:lang w:val="hy-HY"/>
          <w:color w:val="333333"/>
          <w:b w:val="1"/>
          <w:bCs w:val="1"/>
        </w:rPr>
        <w:t xml:space="preserve">Երևան</w:t>
      </w:r>
    </w:p>
    <w:p>
      <w:pPr>
        <w:spacing w:after="0"/>
      </w:pPr>
      <w:r>
        <w:rPr>
          <w:lang w:val="hy-HY"/>
        </w:rPr>
        <w:t xml:space="preserve"> </w:t>
      </w:r>
    </w:p>
    <w:p>
      <w:pPr>
        <w:jc w:val="end"/>
        <w:spacing w:after="0"/>
      </w:pPr>
      <w:r>
        <w:rPr>
          <w:rFonts w:ascii="'GHEA Grapalat'" w:hAnsi="'GHEA Grapalat'" w:eastAsia="'GHEA Grapalat'" w:cs="'GHEA Grapalat'"/>
          <w:lang w:val="hy-HY"/>
        </w:rPr>
        <w:t xml:space="preserve">                </w:t>
      </w:r>
    </w:p>
    <w:p>
      <w:pPr>
        <w:jc w:val="end"/>
        <w:spacing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end"/>
        <w:spacing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end"/>
        <w:spacing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end"/>
        <w:spacing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end"/>
        <w:spacing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end"/>
        <w:spacing w:after="0"/>
      </w:pPr>
      <w:r>
        <w:rPr>
          <w:rFonts w:ascii="'GHEA Grapalat'" w:hAnsi="'GHEA Grapalat'" w:eastAsia="'GHEA Grapalat'" w:cs="'GHEA Grapalat'"/>
          <w:lang w:val="hy-HY"/>
          <w:sz w:val="16"/>
          <w:szCs w:val="16"/>
        </w:rPr>
        <w:t xml:space="preserve">Հավելված</w:t>
      </w:r>
    </w:p>
    <w:p>
      <w:pPr>
        <w:jc w:val="end"/>
        <w:spacing w:after="0"/>
      </w:pPr>
      <w:r>
        <w:rPr>
          <w:rFonts w:ascii="'GHEA Grapalat'" w:hAnsi="'GHEA Grapalat'" w:eastAsia="'GHEA Grapalat'" w:cs="'GHEA Grapalat'"/>
          <w:lang w:val="hy-HY"/>
          <w:sz w:val="16"/>
          <w:szCs w:val="16"/>
        </w:rPr>
        <w:t xml:space="preserve">ՀՀ կառավարության </w:t>
      </w:r>
    </w:p>
    <w:p>
      <w:pPr>
        <w:jc w:val="end"/>
        <w:spacing w:after="0"/>
      </w:pPr>
      <w:r>
        <w:rPr>
          <w:rFonts w:ascii="'GHEA Grapalat'" w:hAnsi="'GHEA Grapalat'" w:eastAsia="'GHEA Grapalat'" w:cs="'GHEA Grapalat'"/>
          <w:lang w:val="hy-HY"/>
          <w:sz w:val="16"/>
          <w:szCs w:val="16"/>
        </w:rPr>
        <w:t xml:space="preserve">2026 թվականի «- - -»</w:t>
      </w:r>
      <w:r>
        <w:rPr>
          <w:rFonts w:ascii="'GHEA Grapalat'" w:hAnsi="'GHEA Grapalat'" w:eastAsia="'GHEA Grapalat'" w:cs="'GHEA Grapalat'"/>
          <w:lang w:val="hy-HY"/>
          <w:sz w:val="16"/>
          <w:szCs w:val="16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16"/>
          <w:szCs w:val="16"/>
        </w:rPr>
        <w:t xml:space="preserve">« »</w:t>
      </w:r>
    </w:p>
    <w:p>
      <w:pPr>
        <w:jc w:val="end"/>
        <w:spacing w:after="0"/>
      </w:pPr>
      <w:r>
        <w:rPr>
          <w:rFonts w:ascii="'GHEA Grapalat'" w:hAnsi="'GHEA Grapalat'" w:eastAsia="'GHEA Grapalat'" w:cs="'GHEA Grapalat'"/>
          <w:lang w:val="hy-HY"/>
          <w:sz w:val="16"/>
          <w:szCs w:val="16"/>
        </w:rPr>
        <w:t xml:space="preserve"> </w:t>
      </w:r>
    </w:p>
    <w:p>
      <w:pPr>
        <w:jc w:val="end"/>
        <w:spacing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end"/>
        <w:spacing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ԿԱՐԳ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ՈՉ ՖՈՐՄԱԼ ԵՎ ԻՆՖՈՐՄԱԼ ՈՒՍՈՒՄՆԱՌՈՒԹՅԱՆ ԱՐԴՅՈՒՆՔՆԵՐԻ</w:t>
      </w:r>
    </w:p>
    <w:p>
      <w:pPr>
        <w:jc w:val="center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ԳՆԱՀԱՏՄԱՆ ԵՎ ՃԱՆԱՉՄԱՆ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1.ԸՆԴՀԱՆՈՒՐ ԴՐՈՒՅԹՆԵՐ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 Սույն կարգով կարգավորվում են ոչ ֆորմալ և ինֆորմալ ուսումնառության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արդյունքների գնահատման և ճանաչման գործընթացի հետ կապված հարաբերությունները: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 Ոչ ֆորմալ և ինֆորմալ ուսուցման արդյունքների գնահատումը և ճանաչումը կրթության պետական կառավարման լիազորված մարմնի՝ ՀՀ կրթության, գիտության, մշակույթի և սպորտի նախարարության (այսուհետ՝ Նախարարություն) կողմից անձի կարողությունների և սահմանված որոշակի չափանիշների համապատասխանության փաստը հավաստելու գործընթաց է: Չափանիշները որոշակի մասնագիտական չափորոշչի ուսումնառության արդյունքներին, զբաղմունքի նկարագրին կամ որոշակի կարողությանը ներկայացվող պահանջներ են (այսուհետ՝ չափանիշներ):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3. Գնահատումը և ճանաչումը կամավոր գործընթաց է, որին կարող է մասնակցել ցանկացած անձ (այսուհետ՝ թեկնածու), ով ցանկանում է ոչ ֆորմալ և ինֆորմալ ուսուցման արդյունքում ձեռք բերված գիտելիքները, հմտությունները և կարողությունները պաշտոնապես ճանաչեն համաձայն սույն կարգի: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4. Ոչ ֆորմալ և ինֆորմալ ուսումնառության արդյունքների ճանաչման համակարգով գնահատված ու ճանաչված արդյունքները հիմք են հանդիսանում աշխատաշուկա մուտք գործելու և տվյալ աշխատանքը կատարելու կամ զբաղմունքը իրականացնելու համար: 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5. Ոչ ֆորմալ և ինֆորմալ ուսումնառության արդյունքների գնահատման ու ճանաչման գործընթացը կազմակերպում և համակարգում է՝ Նախարարության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կողմից ընտրված` ոլորտում գործառույթ իրականացնող կազմակերպությունը (այսուհետ՝ Կազմակերպություն): </w:t>
      </w:r>
    </w:p>
    <w:p>
      <w:pPr>
        <w:jc w:val="both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 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 ԳՆԱՀԱՏՈՂԸ ԵՎ ՆՐԱ ԳՈՐԾԱՌՈւՅԹՆԵՐԸ</w:t>
      </w:r>
    </w:p>
    <w:p>
      <w:pPr>
        <w:jc w:val="center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6. Կազմակերպությունը ձևավորում է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մասնագիտական խումբ, որի կողմից իրականացվում է գնահատում: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7. Գնահատում իրականացնում են ուսուցման ազգային ռեեստրում գրանցված կազմակերպության մասնագետները և (կամ) ֆիզիկակական անձինք (գնահատողներ)՝ համապատասխան մասնագիտական խմբում ընդգրկվելու միջոցով: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8. Ռեեստրում որպես գնահատող կարող են գրանցվել՝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մասնագիտական կրթություն և ուսուցում իրականացնող կազմակերպության մասնագետները,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արտադրական կամ ծառայություններ մատուցող կազմակերպության մասնագետները,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գործատուների ներկայացուցիչները,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 անկախ մասնագետները և փորձագետները: 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9. Գնահատողի կրթության և աշխատանքային ստաժի չափանիշները՝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առնվազն 3 տարվա մասնագիտական աշխատանքային ստաժ,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10 տարվա տվյալ ոլորտի փորձառություն, 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գործատուի կողմից երաշխավորագիր: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10. Գնահատողի գարծառույթները՝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ընտրել գնահատման մեթոդները և պլանավորել գնահատումը,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սույն կարգի 12-րդ կետի համաձայն՝ ուսումնասիրել թեկնածուի կողմից ներկայացված փաստաթղթերը, որոնք հավաստում են, ցույց են տալիս իր կարողությունները գնահատելու և ճանաչելու համար դիմած թեկնածուի փաստացի ունակությունները,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դիտարկել և (կամ) քննել փաստաթղթերը՝ օգտագործելով ընտրված գնահատման մեթոդները,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 գնահատման արդյունքների վերաբերյալ կազմել արձանագրություններ: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3. ՈՉ ՖՈՐՄԱԼ ԵՎ ԻՆՖՈՐՄԱԼ ՈՒՍՈՒՄՆԱՌՈւԹՅԱՆ</w:t>
      </w:r>
    </w:p>
    <w:p>
      <w:pPr>
        <w:jc w:val="center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ԱՐԴՅՈՒՆՔՆԵՐԻ ԳՆԱՀԱՏՈՒՄԸ ԵՎ ՃԱՆԱՉՈՒՄԸ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11. Ոչ ֆորմալ և ինֆորմալ ուսումնառության արդյունքների գնահատումն ու ճանաչումն իրականացվում է հետևյալ փուլերով՝ իրազեկում, դիմումի ներկայացում, գնահատում, ճանաչում 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12. Իրազեկման փուլ՝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թեկնածուն տեղեկանում է գործընթացի հնարավորությունների և պայմանների մասին (օրինակ՝ Նախարարության պաշտոնական կայքում ),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Նախարարության կողմից ընտրված կազմակերպությունը տրամադրում է խորհրդատվություն՝ հասկանալու արդյոք տվյալ անձը կարող է մասնակցել գնահատման և ճանաչման գործընթացին,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որոշվում է որ մասնագիտության կամ որակավորման մակարդակին է համապատասխանում տվյալ թեկնածուի հմտությունները: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13. Դիմումի ներկայացման փուլ՝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թեկնածուն լրացնում է դիմումի ձևաթուղթը՝ նշելով այն հմտությունը որի համար ցանկանում է ստանալ գնահատում և ճանաչում,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իր փորձի և ունեցած ուսումնական արդյունքների վերաբերյալ համապատասխան փաստաթղթեր,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կցում է անհրաժեշտ փաստաթղթեր՝ ինքնակենսագրություն, աշխատանքի փորձի հավաստագրեր, մասնակցության սերտիֆիկատներ, կատարած նախագծեր, երաշխավորագրեր գործատուներից: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14. Գնահատում՝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գնահատող հանձնաժողովը ուսումնասիրում է դիմումը, կազմում է անհատական գնահատման պլան նշելով գնահատման մեթոդները և ժամանակացույցը, 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անցկացնում է գնահատում, որը ներառում է՝ թեստ (ստուգում է տեսական գիտելիքները տվյալ ոլորտում), հարցազրույց (պարզում է թեկնածուի մասնագիտական մտածողությունը, խոսքի հստակությունը, փորձի խորությունը), գործնական առաջադրանք (կիրառական հմտությունների ստուգում),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գնահատման արդյունքների ամփոփում,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 արդյունքները համամատվում է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ազգային որակավորման չափանիշների հետ,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5) հանջնաժողովը որոշում է թեկնածուի որոշակի մասնագիտական չափորոշչի ուսումնառության արդյունքների, զբաղմունքի նկարագրի կամ որոշակի կարողությանը ներկայացվող պահանջներին համապատասխանությունը: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15. Ճանաչում՝ 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ոչ ֆորմալ և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ինֆորմալ ուսումնառության արդյունքների ճանաչման գործընթացը հաղթահարած թեկնածուին շնորհվում է մասնագիտական որոշակի կարողության տիրապետելու մասին հավաստագիր՝ համաձայն N 1 ձևի, և նրա ներդիրը՝ համաձայն N 2 ձևի,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ոչ ֆորմալ և ինֆորմալ ուսումնառության արդյունքների ճանաչումն գրանցվում է պաշտոնապես՝ Ուսուցման ազգային ռեեստրում,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ոչ ֆորմալ և ինֆորմալ ուսումնառության արդյունքների ճանաչման գրանցումը Ուսուցման ազգային ռեեստրում իրականացնում է Կազմակերպությունը: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4. ԳՆԱՀԱՏՄԱՆ ԵՎ ՃԱՆԱՉՄԱՆ ԱՐԴՅՈՒՆՔՆԵՐԻ ՀԵՏ ԿԱՊՎԱԾ ՎԵՃԵՐԻ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ԿԱՐԳԱՎՈՐՈՒՄԸ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</w:t>
      </w:r>
    </w:p>
    <w:p>
      <w:pPr>
        <w:jc w:val="both"/>
      </w:pPr>
      <w:r>
        <w:rPr>
          <w:lang w:val="hy-HY"/>
        </w:rPr>
        <w:t xml:space="preserve">  </w:t>
      </w:r>
      <w:r>
        <w:rPr>
          <w:lang w:val="hy-HY"/>
        </w:rPr>
        <w:t xml:space="preserve">16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. Գնահատման և ճանաչման գործընթացի արդյունքների հետ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անհամաձայնության դեպքում, թեկնածուն կարող է բողոքարկել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կազմակերպությանը, ոչ ուշ քան մեկ աշխատանքային օրվա ընթացքում՝ արդյունքի մասին տեղեկացվելու պահից սկսած:</w:t>
      </w:r>
    </w:p>
    <w:p>
      <w:pPr>
        <w:jc w:val="both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17. Կազմակերպությունը մեկ աշխատանքային օրվա ընթացքում ձևավորում է բողոքարկման հանձնաժողով, որը եռօրյա ժամկետում բողոքարկման դիմում ներկայացրած թեկնածուին տալիս է պարզաբանում:</w:t>
      </w:r>
    </w:p>
    <w:p>
      <w:pPr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end"/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  <w:u w:val="single"/>
        </w:rPr>
        <w:t xml:space="preserve"> </w:t>
      </w:r>
    </w:p>
    <w:p>
      <w:pPr>
        <w:jc w:val="end"/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  <w:u w:val="single"/>
        </w:rPr>
        <w:t xml:space="preserve"> </w:t>
      </w:r>
    </w:p>
    <w:p>
      <w:pPr>
        <w:jc w:val="end"/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  <w:u w:val="single"/>
        </w:rPr>
        <w:t xml:space="preserve"> </w:t>
      </w:r>
    </w:p>
    <w:p>
      <w:pPr>
        <w:jc w:val="end"/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  <w:u w:val="single"/>
        </w:rPr>
        <w:t xml:space="preserve"> </w:t>
      </w:r>
    </w:p>
    <w:p>
      <w:pPr>
        <w:jc w:val="end"/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  <w:u w:val="single"/>
        </w:rPr>
        <w:t xml:space="preserve"> </w:t>
      </w:r>
    </w:p>
    <w:p>
      <w:pPr>
        <w:jc w:val="end"/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  <w:u w:val="single"/>
        </w:rPr>
        <w:t xml:space="preserve">Ձև N 1</w:t>
      </w:r>
    </w:p>
    <w:p>
      <w:pPr>
        <w:jc w:val="end"/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</w:rPr>
        <w:t xml:space="preserve"> </w:t>
      </w:r>
    </w:p>
    <w:tbl>
      <w:tblGrid>
        <w:gridCol w:w="0" w:type="dxa"/>
      </w:tblGrid>
      <w:tblPr>
        <w:tblW w:w="0" w:type="dxa"/>
        <w:tblCellSpacing w:w="15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0" w:type="dxa"/>
            <w:noWrap/>
          </w:tcPr>
          <w:p>
            <w:pPr>
              <w:jc w:val="center"/>
              <w:ind w:left="0" w:right="0" w:firstLine="375"/>
              <w:spacing w:after="0"/>
            </w:pPr>
            <w:r>
              <w:rPr/>
              <w:t xml:space="preserve"> 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  <w:b w:val="1"/>
                <w:bCs w:val="1"/>
              </w:rPr>
              <w:t xml:space="preserve">ՀԱՅԱՍՏԱՆԻ ՀԱՆՐԱՊԵՏՈՒԹՅՈՒՆ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  <w:b w:val="1"/>
                <w:bCs w:val="1"/>
              </w:rPr>
              <w:t xml:space="preserve">ՀՀ ԿՐԹՈՒԹՅԱՆ, ԳԻՏՈՒԹՅԱՆ, ՄՇԱԿՈւՅԹԻ ԵՎ ՍՊՈՐՏԻ ՆԱԽԱՐԱՐՈՒԹՅՈՒՆ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 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36"/>
                <w:szCs w:val="36"/>
                <w:b w:val="1"/>
                <w:bCs w:val="1"/>
              </w:rPr>
              <w:t xml:space="preserve">Հ Ա Վ Ա Ս Տ Ա Գ Ի Ր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 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  <w:b w:val="1"/>
                <w:bCs w:val="1"/>
              </w:rPr>
              <w:t xml:space="preserve">ՈՉ ՖՈՐՄԱԼ ԵՎ ԻՆՖՈՐՄԱԼ ՈՒՍՈՒՄՆԱՌՈՒԹՅԱՆ ԱՐԴՅՈՒՆՔՆԵՐԻ ԳՆԱՀԱՏՄԱՆ ԵՎ ՃԱՆԱՉՄԱՆ ՄԱՍԻՆ</w:t>
            </w:r>
          </w:p>
          <w:p>
            <w:pPr>
              <w:jc w:val="center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  <w:b w:val="1"/>
                <w:bCs w:val="1"/>
              </w:rPr>
              <w:t xml:space="preserve">CC NO 000000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  <w:b w:val="1"/>
                <w:bCs w:val="1"/>
              </w:rPr>
              <w:t xml:space="preserve">Տրված է _______________________________________________________ </w:t>
            </w:r>
            <w:r>
              <w:rPr>
                <w:rFonts w:ascii="'Arial'" w:hAnsi="'Arial'" w:eastAsia="'Arial'" w:cs="'Arial'"/>
                <w:lang w:val="hy-HY"/>
                <w:color w:val="333333"/>
                <w:sz w:val="15"/>
                <w:szCs w:val="15"/>
              </w:rPr>
              <w:t xml:space="preserve">(ունկնդրի անունը (հայրանունը), ազգանունը)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 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  <w:b w:val="1"/>
                <w:bCs w:val="1"/>
              </w:rPr>
              <w:t xml:space="preserve">(անհատական կոդ՝</w:t>
            </w: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 _______________)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 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  <w:b w:val="1"/>
                <w:bCs w:val="1"/>
              </w:rPr>
              <w:t xml:space="preserve">առ այն, որ նա </w:t>
            </w: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____</w:t>
            </w: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  <w:b w:val="1"/>
                <w:bCs w:val="1"/>
              </w:rPr>
              <w:t xml:space="preserve">թ. </w:t>
            </w: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_________</w:t>
            </w: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  <w:b w:val="1"/>
                <w:bCs w:val="1"/>
              </w:rPr>
              <w:t xml:space="preserve"> </w:t>
            </w: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___ </w:t>
            </w: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  <w:b w:val="1"/>
                <w:bCs w:val="1"/>
              </w:rPr>
              <w:t xml:space="preserve">-ից </w:t>
            </w: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______</w:t>
            </w: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  <w:b w:val="1"/>
                <w:bCs w:val="1"/>
              </w:rPr>
              <w:t xml:space="preserve">թ. </w:t>
            </w: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_________</w:t>
            </w: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  <w:b w:val="1"/>
                <w:bCs w:val="1"/>
              </w:rPr>
              <w:t xml:space="preserve"> գնահատվել,</w:t>
            </w:r>
          </w:p>
          <w:p>
            <w:pPr>
              <w:jc w:val="center"/>
              <w:ind w:left="0" w:right="0" w:firstLine="375"/>
              <w:spacing w:after="0"/>
            </w:pPr>
            <w:br/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__________ </w:t>
            </w: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  <w:b w:val="1"/>
                <w:bCs w:val="1"/>
              </w:rPr>
              <w:t xml:space="preserve">և ճանաչվել է</w:t>
            </w: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 ___________________________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15"/>
                <w:szCs w:val="15"/>
              </w:rPr>
              <w:t xml:space="preserve"> (գնահատման կոդը)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 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մասնագիտության, զբաղմունքի, կարողության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 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  <w:b w:val="1"/>
                <w:bCs w:val="1"/>
              </w:rPr>
              <w:t xml:space="preserve">համար սահմանված ----------------- չափանիշները նվաճած անձ։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 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______________________ ______________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 (կազմակերպության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 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 ------------------------------------------------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 ղեկավարի ստորագրությունը)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 </w:t>
            </w:r>
          </w:p>
          <w:tbl>
            <w:tblGrid>
              <w:gridCol w:w="100" w:type="dxa"/>
              <w:gridCol w:w="0" w:type="dxa"/>
              <w:gridCol w:w="100" w:type="dxa"/>
            </w:tblGrid>
            <w:tblPr>
              <w:tblW w:w="0" w:type="dxa"/>
              <w:tblCellSpacing w:w="15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100" w:type="dxa"/>
                  <w:noWrap/>
                </w:tcPr>
                <w:p>
                  <w:pPr>
                    <w:jc w:val="center"/>
                    <w:spacing w:after="0"/>
                  </w:pPr>
                  <w:r>
                    <w:rPr>
                      <w:lang w:val="hy-HY"/>
                      <w:sz w:val="24"/>
                      <w:szCs w:val="24"/>
                    </w:rPr>
                    <w:t xml:space="preserve">____ ________________ _____թ.</w:t>
                  </w:r>
                  <w:r>
                    <w:rPr>
                      <w:lang w:val="hy-HY"/>
                      <w:sz w:val="24"/>
                      <w:szCs w:val="24"/>
                      <w:vertAlign w:val="superscript"/>
                    </w:rPr>
                    <w:t xml:space="preserve">(հավաստագրի դուրսգրման ամսաթիվը)</w:t>
                  </w:r>
                </w:p>
              </w:tc>
              <w:tc>
                <w:tcPr>
                  <w:tcW w:w="0" w:type="dxa"/>
                  <w:noWrap/>
                </w:tcPr>
                <w:p>
                  <w:pPr>
                    <w:jc w:val="center"/>
                  </w:pPr>
                  <w:r>
                    <w:rPr>
                      <w:lang w:val="hy-HY"/>
                      <w:sz w:val="24"/>
                      <w:szCs w:val="24"/>
                    </w:rPr>
                    <w:t xml:space="preserve">___________</w:t>
                  </w:r>
                  <w:r>
                    <w:rPr>
                      <w:lang w:val="hy-HY"/>
                      <w:sz w:val="24"/>
                      <w:szCs w:val="24"/>
                      <w:vertAlign w:val="superscript"/>
                    </w:rPr>
                    <w:t xml:space="preserve"> (վայրը)</w:t>
                  </w:r>
                </w:p>
              </w:tc>
              <w:tc>
                <w:tcPr>
                  <w:tcW w:w="100" w:type="dxa"/>
                  <w:noWrap/>
                </w:tcPr>
                <w:p>
                  <w:pPr>
                    <w:jc w:val="center"/>
                    <w:spacing w:after="0"/>
                  </w:pPr>
                  <w:r>
                    <w:rPr>
                      <w:lang w:val="hy-HY"/>
                      <w:sz w:val="24"/>
                      <w:szCs w:val="24"/>
                    </w:rPr>
                    <w:t xml:space="preserve">Գրանցման N ________</w:t>
                  </w:r>
                </w:p>
              </w:tc>
            </w:tr>
          </w:tbl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</w:rPr>
              <w:t xml:space="preserve"> </w:t>
            </w:r>
          </w:p>
          <w:p>
            <w:pPr>
              <w:jc w:val="center"/>
              <w:ind w:left="0" w:right="0" w:firstLine="375"/>
              <w:spacing w:after="0"/>
            </w:pPr>
            <w:r>
              <w:rPr>
                <w:rFonts w:ascii="'Arial'" w:hAnsi="'Arial'" w:eastAsia="'Arial'" w:cs="'Arial'"/>
                <w:lang w:val="hy-HY"/>
                <w:color w:val="333333"/>
                <w:sz w:val="24"/>
                <w:szCs w:val="24"/>
                <w:vertAlign w:val="superscript"/>
              </w:rPr>
              <w:t xml:space="preserve">ՀԱՎԱՍՏԱԳԻՐԸ ՊԵՏԱԿԱՆ ՓԱՍՏԱԹՈՒՂԹ Է ԿԱՐՈՂՈՒԹՅՈՒՆՆԵՐԻ ՃԱՆԱՉՄԱՆ ՄԱՍԻՆ</w:t>
            </w:r>
          </w:p>
        </w:tc>
      </w:tr>
    </w:tbl>
    <w:p>
      <w:pPr>
        <w:jc w:val="end"/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  <w:u w:val="single"/>
        </w:rPr>
        <w:t xml:space="preserve"> </w:t>
      </w:r>
    </w:p>
    <w:p>
      <w:pPr>
        <w:jc w:val="end"/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  <w:u w:val="single"/>
        </w:rPr>
        <w:t xml:space="preserve"> </w:t>
      </w:r>
    </w:p>
    <w:p>
      <w:pPr>
        <w:jc w:val="end"/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  <w:u w:val="single"/>
        </w:rPr>
        <w:t xml:space="preserve"> </w:t>
      </w:r>
    </w:p>
    <w:p>
      <w:pPr>
        <w:jc w:val="end"/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  <w:u w:val="single"/>
        </w:rPr>
        <w:t xml:space="preserve"> </w:t>
      </w:r>
    </w:p>
    <w:p>
      <w:pPr>
        <w:jc w:val="end"/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  <w:u w:val="single"/>
        </w:rPr>
        <w:t xml:space="preserve"> </w:t>
      </w:r>
    </w:p>
    <w:p>
      <w:pPr>
        <w:jc w:val="end"/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  <w:u w:val="single"/>
        </w:rPr>
        <w:t xml:space="preserve"> </w:t>
      </w:r>
    </w:p>
    <w:p>
      <w:pPr>
        <w:jc w:val="end"/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  <w:u w:val="single"/>
        </w:rPr>
        <w:t xml:space="preserve"> </w:t>
      </w:r>
    </w:p>
    <w:p>
      <w:pPr>
        <w:jc w:val="end"/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  <w:u w:val="single"/>
        </w:rPr>
        <w:t xml:space="preserve"> </w:t>
      </w:r>
    </w:p>
    <w:p>
      <w:pPr>
        <w:jc w:val="end"/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  <w:u w:val="single"/>
        </w:rPr>
        <w:t xml:space="preserve">Ձև N 2</w:t>
      </w:r>
    </w:p>
    <w:p>
      <w:pPr>
        <w:jc w:val="end"/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</w:rPr>
        <w:t xml:space="preserve"> </w:t>
      </w:r>
    </w:p>
    <w:p>
      <w:pPr>
        <w:jc w:val="center"/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  <w:b w:val="1"/>
          <w:bCs w:val="1"/>
        </w:rPr>
        <w:t xml:space="preserve">ՃԱՆԱՉՎԱԾ ՈՒՍՈՒՄՆԱՌՈՒԹՅԱՆ ԱՐԴՅՈՒՆՔՆԵՐԸ ԵՎ ՉԱՓԱՆԻՇՆԵՐԸ</w:t>
      </w:r>
    </w:p>
    <w:p>
      <w:pPr>
        <w:jc w:val="center"/>
        <w:ind w:left="0" w:right="0" w:firstLine="375"/>
        <w:spacing w:after="0"/>
      </w:pPr>
      <w:r>
        <w:rPr>
          <w:rFonts w:ascii="'Arial'" w:hAnsi="'Arial'" w:eastAsia="'Arial'" w:cs="'Arial'"/>
          <w:lang w:val="hy-HY"/>
          <w:color w:val="333333"/>
          <w:sz w:val="24"/>
          <w:szCs w:val="24"/>
        </w:rPr>
        <w:t xml:space="preserve"> </w:t>
      </w:r>
    </w:p>
    <w:tbl>
      <w:tblGrid>
        <w:gridCol w:w="100" w:type="dxa"/>
        <w:gridCol w:w="100" w:type="dxa"/>
        <w:gridCol w:w="100" w:type="dxa"/>
        <w:gridCol w:w="100" w:type="dxa"/>
      </w:tblGrid>
      <w:tblPr>
        <w:tblW w:w="10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00" w:type="dxa"/>
            <w:noWrap/>
          </w:tcPr>
          <w:p>
            <w:pPr>
              <w:jc w:val="center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NN</w:t>
            </w:r>
            <w:br/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ը/կ</w:t>
            </w:r>
          </w:p>
        </w:tc>
        <w:tc>
          <w:tcPr>
            <w:tcW w:w="100" w:type="dxa"/>
            <w:noWrap/>
          </w:tcPr>
          <w:p>
            <w:pPr>
              <w:jc w:val="center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Ուսումնառության արդյունքը</w:t>
            </w:r>
          </w:p>
        </w:tc>
        <w:tc>
          <w:tcPr>
            <w:tcW w:w="100" w:type="dxa"/>
            <w:gridSpan w:val="2"/>
            <w:noWrap/>
          </w:tcPr>
          <w:p>
            <w:pPr>
              <w:jc w:val="center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Գնահատման հիմքը</w:t>
            </w:r>
          </w:p>
        </w:tc>
      </w:tr>
      <w:tr>
        <w:trPr/>
        <w:tc>
          <w:tcPr>
            <w:tcW w:w="100" w:type="dxa"/>
            <w:vAlign w:val="top"/>
            <w:noWrap/>
          </w:tcPr>
          <w:p>
            <w:pPr>
              <w:jc w:val="center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1.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100" w:type="dxa"/>
            <w:vAlign w:val="top"/>
            <w:noWrap/>
          </w:tcPr>
          <w:p>
            <w:pPr>
              <w:jc w:val="center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2.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100" w:type="dxa"/>
            <w:vAlign w:val="top"/>
            <w:noWrap/>
          </w:tcPr>
          <w:p>
            <w:pPr>
              <w:jc w:val="center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3.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100" w:type="dxa"/>
            <w:vAlign w:val="top"/>
            <w:noWrap/>
          </w:tcPr>
          <w:p>
            <w:pPr>
              <w:jc w:val="center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4.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100" w:type="dxa"/>
            <w:vAlign w:val="top"/>
            <w:noWrap/>
          </w:tcPr>
          <w:p>
            <w:pPr>
              <w:jc w:val="center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5.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100" w:type="dxa"/>
            <w:vAlign w:val="top"/>
            <w:noWrap/>
          </w:tcPr>
          <w:p>
            <w:pPr>
              <w:jc w:val="center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6.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100" w:type="dxa"/>
            <w:vAlign w:val="top"/>
            <w:noWrap/>
          </w:tcPr>
          <w:p>
            <w:pPr>
              <w:jc w:val="center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7.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100" w:type="dxa"/>
            <w:vAlign w:val="top"/>
            <w:noWrap/>
          </w:tcPr>
          <w:p>
            <w:pPr>
              <w:jc w:val="center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8.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100" w:type="dxa"/>
            <w:vAlign w:val="top"/>
            <w:noWrap/>
          </w:tcPr>
          <w:p>
            <w:pPr>
              <w:jc w:val="center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9.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100" w:type="dxa"/>
            <w:vAlign w:val="top"/>
            <w:noWrap/>
          </w:tcPr>
          <w:p>
            <w:pPr>
              <w:jc w:val="center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10.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100" w:type="dxa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gridSpan w:val="3"/>
            <w:noWrap/>
          </w:tcPr>
          <w:p>
            <w:pPr>
              <w:jc w:val="center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Ճանաչված չափանիշները՝ ըստ կարողության և զբաղմունքի</w:t>
            </w:r>
          </w:p>
        </w:tc>
      </w:tr>
      <w:tr>
        <w:trPr/>
        <w:tc>
          <w:tcPr>
            <w:tcW w:w="100" w:type="dxa"/>
            <w:vAlign w:val="top"/>
            <w:noWrap/>
          </w:tcPr>
          <w:p>
            <w:pPr>
              <w:jc w:val="center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11.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100" w:type="dxa"/>
            <w:vAlign w:val="top"/>
            <w:noWrap/>
          </w:tcPr>
          <w:p>
            <w:pPr>
              <w:jc w:val="center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12.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100" w:type="dxa"/>
            <w:vAlign w:val="top"/>
            <w:noWrap/>
          </w:tcPr>
          <w:p>
            <w:pPr>
              <w:jc w:val="center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13.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100" w:type="dxa"/>
            <w:vAlign w:val="top"/>
            <w:noWrap/>
          </w:tcPr>
          <w:p>
            <w:pPr>
              <w:jc w:val="center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14.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rFonts w:ascii="'Arial'" w:hAnsi="'Arial'" w:eastAsia="'Arial'" w:cs="'Arial'"/>
                <w:color w:val="333333"/>
                <w:sz w:val="24"/>
                <w:szCs w:val="24"/>
              </w:rPr>
              <w:t xml:space="preserve"> </w:t>
            </w:r>
          </w:p>
        </w:tc>
      </w:tr>
    </w:tbl>
    <w:p>
      <w:pPr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2026-04-01T10:12:21+04:00</dcterms:created>
  <dcterms:modified xsi:type="dcterms:W3CDTF">2026-04-01T10:12:21+04:00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