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ԿԱԶՄԱԿԵՐՊՈՒԹՅՈՒՆՆԵՐԻ ՖԻՆԱՆՍԱՏՆՏԵՍԱԿԱՆ ԳՈՐԾՈՒՆԵՈՒԹՅԱՆ ՀԱՇՎԱՊԱՀԱԿԱՆ ՀԱՇՎԱՌՄԱՆ ՕՐԻՆԱԿԵԼԻ ՀԱՇՎԱՅԻՆ ՊԼԱՆԸ ԵՎ ԴՐԱ ԿԻՐԱՌՄԱՆ ՀՐԱՀԱՆԳԸ ՀԱՍՏԱՏԵԼՈՒ ԵՎ ՀՀ ՖԻՆԱՆՍՆԵՐԻ ՆԱԽԱՐԱՐԻ 2012 ԹՎԱԿԱՆԻ ԱՊՐԻԼԻ 17-Ի ԹԻՎ 353-Ն ՀՐԱՄԱՆՆ ՈՒԺԸ ԿՈՐՑՐԱԾ ՃԱՆԱՉԵԼՈՒ ՄԱՍԻՆ</w:t>
      </w:r>
      <w:bookmarkEnd w:id="0"/>
    </w:p>
    <w:p>
      <w:pPr>
        <w:jc w:val="center"/>
        <w:ind w:left="0" w:right="0" w:firstLine="0"/>
        <w:spacing w:before="0" w:after="0" w:line="360" w:lineRule="auto"/>
      </w:pPr>
      <w:r>
        <w:rPr/>
        <w:t xml:space="preserve"> 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ՀՐԱՄԱՆ</w:t>
      </w:r>
    </w:p>
    <w:p>
      <w:pPr>
        <w:jc w:val="center"/>
        <w:ind w:left="0" w:right="0" w:firstLine="0"/>
        <w:spacing w:before="0" w:after="0" w:line="360" w:lineRule="auto"/>
      </w:pPr>
      <w:r>
        <w:rPr/>
        <w:t xml:space="preserve"> 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6"/>
          <w:szCs w:val="26"/>
          <w:b w:val="1"/>
          <w:bCs w:val="1"/>
        </w:rPr>
        <w:t xml:space="preserve">ԿԱԶՄԱԿԵՐՊՈՒԹՅՈՒՆՆԵՐԻ ՖԻՆԱՆՍԱՏՆՏԵՍԱԿԱՆ ԳՈՐԾՈՒՆԵՈՒԹՅԱՆ ՀԱՇՎԱՊԱՀԱԿԱՆ ՀԱՇՎԱՌՄԱՆ ՕՐԻՆԱԿԵԼԻ ՀԱՇՎԱՅԻՆ ՊԼԱՆԸ ԵՎ ԴՐԱ ԿԻՐԱՌՄԱՆ ՀՐԱՀԱՆԳԸ ՀԱՍՏԱՏԵԼՈՒ ԵՎ ՀՀ ՖԻՆԱՆՍՆԵՐԻ ՆԱԽԱՐԱՐԻ 2012 ԹՎԱԿԱՆԻ ԱՊՐԻԼԻ 17-Ի ԹԻՎ 353-Ն ՀՐԱՄԱՆՆ ՈՒԺԸ ԿՈՐՑՐԱԾ ՃԱՆԱՉԵԼՈՒ ՄԱՍԻՆ</w:t>
      </w:r>
    </w:p>
    <w:p>
      <w:pPr>
        <w:spacing w:before="0" w:after="0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562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«Հաշվապահական հաշվառման մասին» օրենքի 6-րդ հոդվածի 1-ին մասի 1-ին կետը և 3-րդ մասը, «Հաշվապահական հաշվառման և աուդիտորական գործունեության կարգավորման և հանրային վերահսկողության մասին» օրենքի 6-րդ հոդվածի 2-րդ մասի 1-ին կետի բ ենթակետը և 5-րդ մասը` 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 Ր Ա Մ Ա Յ ՈՒ Մ Ե Մ`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42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Հաստատել կազմակերպությունների ֆինանսատնտեսական գործունեության հաշվապահական հաշվառման օրինակելի հաշվային պլանը և դրա կիրառման հրահանգը` համաձայն հավելվածի։</w:t>
      </w:r>
    </w:p>
    <w:p>
      <w:pPr>
        <w:jc w:val="both"/>
        <w:ind w:left="0" w:right="0" w:firstLine="42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Ուժը կորցրած ճանաչել Հայաստանի Հանրապետության ֆինանսների նախարարի 2012 թվականի ապրիլի 17-ի ««Կազմակերպությունների ֆինանսատնտեսական գործունեության հաշվապահական հաշվառման հաշվային պլանը և կիրառման հրահանգը» հաստատելու և Հայաստանի Հանրապետության ֆինանսների և էկոնոմիկայի նախարարի 2000 թվականի դեկտեմբերի 29-ի թիվ 319-Ն հրամանն ուժը կորցրած ճանաչելու մասին» թիվ 353-Ն հրամանը։ </w:t>
      </w:r>
    </w:p>
    <w:p>
      <w:pPr>
        <w:jc w:val="both"/>
        <w:ind w:left="0" w:right="0" w:firstLine="42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հրամանն ուժի մեջ է մտնում պաշտոնական հրապարակման օրվան հաջորդող օրը։</w:t>
      </w:r>
    </w:p>
    <w:p>
      <w:pPr>
        <w:jc w:val="center"/>
        <w:ind w:left="0" w:right="0" w:firstLine="0"/>
        <w:spacing w:before="0" w:after="0" w:line="360" w:lineRule="auto"/>
      </w:pPr>
      <w:r>
        <w:rPr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0"/>
        <w:spacing w:before="0" w:after="0" w:line="360" w:lineRule="auto"/>
      </w:pPr>
      <w:r>
        <w:rPr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Վ. ՀՈՎՀԱՆՆԻՍՅԱՆ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2026-04-01T23:31:12+04:00</dcterms:created>
  <dcterms:modified xsi:type="dcterms:W3CDTF">2026-04-01T23:31:12+04:00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