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ԱՐԱԳԱԾՈՏՆԻ  ՄԱՐԶԻ ԱՊԱՐԱՆ ՀԱՄԱՅՆՔԻ 2025 ԹՎԱԿԱՆԻ ԲՅՈՒՋԵՆ ՀԱՍՏԱՏԵԼՈՒ ՄԱՍԻՆ</w:t>
      </w:r>
      <w:bookmarkEnd w:id="0"/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ԱՊԱՐԱՆ ՀԱՄԱՅՆՔԻ ԱՎԱԳԱՆՈՒ 26.12.2025 ԹՎԱԿԱՆԻ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ԱՎԱԳԱՆՈՒ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ԵՐԿՐՈՐԴ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ՆՍՏԱՇՐՋԱՆԻ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ՉՈՐՐՈՐԴ ՆԻՍՏԻ N ______Ն ՈՐՈՇՄԱՆ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ՀԱՅԱՍՏԱՆԻ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ՀԱՆՐԱՊԵՏՈՒԹՅԱՆ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ԱՐԱԳԱԾՈՏՆԻ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ՄԱՐԶԻ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ԱՊԱՐԱՆ ՀԱՄԱՅՆՔԻ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202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6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ԹՎԱԿԱՆԻ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ՏԱՐԵԿԱՆ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ԲՅՈՒՋԵՆ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ՀԱՍՏԱՏԵԼՈՒ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ՄԱՍԻՆ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Ղեկավարվելով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 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Տեղական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ինքնակառավարման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4b5c6a"/>
          <w:sz w:val="20"/>
          <w:szCs w:val="20"/>
          <w:b w:val="1"/>
          <w:bCs w:val="1"/>
        </w:rPr>
        <w:t xml:space="preserve">Հայաստանի Հանրապետության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օրենքի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18-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րդ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հոդվածի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1-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ին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մասի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-րդ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կետի և 83-րդ հոդվածի պահանջներով, համաձայն 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Բյուջետային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համակարգի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օրենքի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31-32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րդ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հոդվածների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պահանջներով, հիմք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համայնքի ղեկավարի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առաջարկությունը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, </w:t>
      </w:r>
    </w:p>
    <w:p>
      <w:pPr>
        <w:jc w:val="both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Ապարան համայնքի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ավագանին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 որոշում է</w:t>
      </w:r>
    </w:p>
    <w:p>
      <w:pPr>
        <w:jc w:val="both"/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Հաստատել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Ապարան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համայնքի</w:t>
      </w:r>
      <w:r>
        <w:rPr>
          <w:rFonts w:ascii="'Courier New'" w:hAnsi="'Courier New'" w:eastAsia="'Courier New'" w:cs="'Courier New'"/>
          <w:lang w:val="af-AF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202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6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թվականի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տարեկան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բյուջեն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`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 համաձայն N1 հավելվածի՝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1.1 Եկամուտների մասով՝ 1.793.228.700 ՀՀ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դրամ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1.2.Ծախսերի մասով՝ 2.973.288.700 ՀՀ դրամ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2.Հաստատել համայնքի բյուջեի եկամուտներն ըստ առանձին եկամտատեսակների՝ համաձայն հատված 1-ի 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3.Հաստատել համայնքի բյուջեի ծախսերն ըստ բյուջետային ծախսերի գործառնական դասարակրգման՝ գամաձայն հատված 2-ի.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4/Հաստատել համայնքի բյուջեի ծախսերն ըստ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բյուջետային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ծախսերի տնտեսագիտական դասակարգման՝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համաձայն հատված 3-ի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5.Հաստատել համայնքի բյուջեի ծախսերն ըստ բյուջետային շախսերի գործառնական և տնտեսագիտական դասակարգման՝ համաձայն հատված 6-ի.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6.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0"/>
          <w:szCs w:val="20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Բյուջետային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համակարգի</w:t>
      </w:r>
      <w:r>
        <w:rPr>
          <w:rFonts w:ascii="'Courier New'" w:hAnsi="'Courier New'" w:eastAsia="'Courier New'" w:cs="'Courier New'"/>
          <w:lang w:val="hy-HY"/>
          <w:color w:val="black"/>
          <w:sz w:val="20"/>
          <w:szCs w:val="20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af-AF"/>
          <w:color w:val="4b5c6a"/>
          <w:sz w:val="20"/>
          <w:szCs w:val="2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33-րդ հոդվածի 3-րդ մասի համաձայն՝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6.1 Թույլատրել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համայնքի ղեկավարին՝ համայնքի բյուջեի կատարման ընթացքում կատարելու վերաբաշխումներ ըստ գործառնական և տնտեսագիտական դասակարգման ծախսերի նախատեսված հոդվածների միջև.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6.2 Սահմանել, որ փոփոխությունների հանրագումարը բյուջետային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տարվա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ընթացքում չի կարող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գերազանցել հաստատված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չափաքանակների 15%-ը: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7. Սույն որոշումը ուժի մեջ է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  <w:b w:val="1"/>
          <w:bCs w:val="1"/>
        </w:rPr>
        <w:t xml:space="preserve">մտնում 2026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2026-04-03T13:25:15+04:00</dcterms:created>
  <dcterms:modified xsi:type="dcterms:W3CDTF">2026-04-03T13:25:15+04:00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