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ՀԱՄԱՅՆՔԱՅԻՆ ԾԱՌԱՅՈՒԹՅԱՆ ԹԱՓՈՒՐ ՊԱՇՏՈՆ ԶԲԱՂԵՑՆԵԼՈՒ ՀԱՄԱՐ ԱՆՑԿԱՑՎՈՂ ՄՐՑՈՒՅԹԻ ԹԵՍՏԵՐԸ ԿԱԶՄԵԼՈՒ, ԹԵՍՏԱՅԻՆ ԱՌԱՋԱԴՐԱՆՔՆԵՐԸ ՁԵՎԱՎՈՐԵԼՈՒ, ԹԵՍՏԱՅԻՆ ԱՌԱՋԱԴՐԱՆՔՆԵՐԻ ՔԱՆԱԿԸ ՍԱՀՄԱՆԵԼՈՒ ԿԱՐԳԸ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 Ր Ա Մ Ա Ն __ Ն </w:t>
      </w:r>
      <w:r>
        <w:rPr>
          <w:b w:val="1"/>
          <w:bCs w:val="1"/>
        </w:rPr>
        <w:t xml:space="preserve"> 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ՀԱՄԱՅՆՔԱՅԻՆ ԾԱՌԱՅՈՒԹՅԱՆ ԹԱՓՈՒՐ ՊԱՇՏՈՆ ԶԲԱՂԵՑՆԵԼՈՒ ՀԱՄԱՐ ԱՆՑԿԱՑՎՈՂ ՄՐՑՈՒՅԹԻ ԹԵՍՏԵՐԸ ԿԱԶՄԵԼՈՒ, ԹԵՍՏԱՅԻՆ ԱՌԱՋԱԴՐԱՆՔՆԵՐԸ ՁԵՎԱՎՈՐԵԼՈՒ, ԹԵՍՏԱՅԻՆ ԱՌԱՋԱԴՐԱՆՔՆԵՐԻ ՔԱՆԱԿԸ</w:t>
      </w:r>
    </w:p>
    <w:p>
      <w:pPr>
        <w:jc w:val="center"/>
      </w:pPr>
      <w:r>
        <w:rPr>
          <w:b w:val="1"/>
          <w:bCs w:val="1"/>
        </w:rPr>
        <w:t xml:space="preserve">ՍԱՀՄԱՆԵԼՈՒ ԿԱՐԳԸ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«Համայնքային ծառայության մասին» օրենքի 14-րդ հոդվածի 7-րդ մասով ՝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համայնքային ծառայության թափուր պաշտոն զբաղեցնելու համար անցկացվող մրցույթի թեստերը կազմելու, թեստային առաջադրանքները ձևավորելու, թեստային առաջադրանքների քանակը սահմանելու մասին կարգը՝ համաձայն սույն հրամանի հավելվածի։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                </w:t>
      </w:r>
      <w:r>
        <w:rPr>
          <w:b w:val="1"/>
          <w:bCs w:val="1"/>
        </w:rPr>
        <w:t xml:space="preserve">ՆԱԽԱՐԱՐ`                                                            </w:t>
      </w:r>
      <w:r>
        <w:rPr>
          <w:b w:val="1"/>
          <w:bCs w:val="1"/>
        </w:rPr>
        <w:t xml:space="preserve">  Դ. ԽՈՒԴԱԹՅԱՆ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 ք. 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Հավելված</w:t>
      </w:r>
    </w:p>
    <w:p>
      <w:pPr>
        <w:jc w:val="center"/>
      </w:pPr>
      <w:r>
        <w:rPr/>
        <w:t xml:space="preserve">Հայաստանի Հանրապետության տարածքային</w:t>
      </w:r>
    </w:p>
    <w:p>
      <w:pPr>
        <w:jc w:val="center"/>
      </w:pPr>
      <w:r>
        <w:rPr/>
        <w:t xml:space="preserve">կառավարման և ենթակառուցվածքների նախարարի</w:t>
      </w:r>
    </w:p>
    <w:p>
      <w:pPr>
        <w:jc w:val="center"/>
      </w:pPr>
      <w:r>
        <w:rPr/>
        <w:t xml:space="preserve">2025 թվականի ---------------------------ի N -----Ն հրամանի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ՀԱՄԱՅՆՔԱՅԻՆ ԾԱՌԱՅՈՒԹՅԱՆ ԹԱՓՈՒՐ ՊԱՇՏՈՆ ԶԲԱՂԵՑՆԵԼՈՒ ՀԱՄԱՐ ԱՆՑԿԱՑՎՈՂ ՄՐՑՈՒՅԹԻ ԹԵՍՏԵՐԸ ԿԱԶՄԵԼՈՒ, ԹԵՍՏԱՅԻՆ ԱՌԱՋԱԴՐԱՆՔՆԵՐԸ ՁԵՎԱՎՈՐԵԼՈՒ, ԹԵՍՏԱՅԻՆ ԱՌԱՋԱԴՐԱՆՔՆԵՐԻ ՔԱՆԱԿԸ ՍԱՀՄԱՆԵԼՈՒ ՄԱՍԻՆ </w:t>
      </w:r>
    </w:p>
    <w:p>
      <w:pPr>
        <w:numPr>
          <w:ilvl w:val="0"/>
          <w:numId w:val="3"/>
        </w:numPr>
      </w:pP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հաստատվում են համայնքային ծառայության թափուր պաշտոն զբաղեցնելու համար անցկացվող մրցույթի (այսուհետ՝ մրցույթ) թեստերը կազմելու, թեստային առաջադրանքները ձևավորելու ընթացակարգերը, ինչպես նաև թեստային առաջադրանքների քանակը սահմանելու կարգը։</w:t>
      </w:r>
    </w:p>
    <w:p>
      <w:pPr>
        <w:numPr>
          <w:ilvl w:val="0"/>
          <w:numId w:val="4"/>
        </w:numPr>
      </w:pPr>
      <w:r>
        <w:rPr/>
        <w:t xml:space="preserve">Թեստերը կազմվում են Հայաստանի Հանրապետության «Համայնքային ծառայության մասին» Հայաստանի Հանրապետության օրենքի և սույն կարգի պահանջներին համապատասխան՝ ապահովելով թափանցիկություն, օբյեկտիվություն և մասնագիտական հմտությունների </w:t>
      </w:r>
      <w:r>
        <w:rPr>
          <w:b w:val="1"/>
          <w:bCs w:val="1"/>
        </w:rPr>
        <w:t xml:space="preserve">համաչափ </w:t>
      </w:r>
      <w:r>
        <w:rPr/>
        <w:t xml:space="preserve">գնահատում ։</w:t>
      </w:r>
    </w:p>
    <w:p>
      <w:pPr>
        <w:numPr>
          <w:ilvl w:val="0"/>
          <w:numId w:val="4"/>
        </w:numPr>
      </w:pPr>
      <w:r>
        <w:rPr/>
        <w:t xml:space="preserve">Թեստը՝ թեստային առաջադրանքների ամբողջություն է, որի նպատակն է համապատասխան համայնքային ծառայության պաշտոնը զբաղեցնելու համար անհրաժեշտ գիտելիքների, հմտությունների և կարողությունների գնահատումը։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Հարցաշարերի կազմման և թարմացման սկզբունքներ</w:t>
      </w:r>
    </w:p>
    <w:p>
      <w:pPr>
        <w:numPr>
          <w:ilvl w:val="0"/>
          <w:numId w:val="5"/>
        </w:numPr>
      </w:pPr>
      <w:r>
        <w:rPr/>
        <w:t xml:space="preserve">Հարցաշարերը կազմում և լրամշակում է Տարածքային կառավարման և ենթակառուցվածքների նախարարության լիազոր ստորաբաժանումը՝ ներգրավելով համայնքային ծառայության, իրավաբանության և տեղական ինքնակառավարման ոլորտների մասնագետներ։</w:t>
      </w:r>
    </w:p>
    <w:p>
      <w:pPr>
        <w:numPr>
          <w:ilvl w:val="0"/>
          <w:numId w:val="5"/>
        </w:numPr>
      </w:pPr>
      <w:r>
        <w:rPr/>
        <w:t xml:space="preserve">Հարցաշարերը ներառում են երկու հիմնական բաղադրիչ՝</w:t>
      </w:r>
    </w:p>
    <w:p>
      <w:pPr>
        <w:numPr>
          <w:ilvl w:val="0"/>
          <w:numId w:val="6"/>
        </w:numPr>
      </w:pPr>
      <w:r>
        <w:rPr/>
        <w:t xml:space="preserve">մասնագիտական հարցեր՝ ուղղված աշխատակիցների աշխատանքային ոլորտին առնչվող տեսական և գործնական գիտելիքների խորը և համապարփակ գնահատմանը,</w:t>
      </w:r>
    </w:p>
    <w:p>
      <w:pPr>
        <w:numPr>
          <w:ilvl w:val="0"/>
          <w:numId w:val="6"/>
        </w:numPr>
      </w:pPr>
      <w:r>
        <w:rPr/>
        <w:t xml:space="preserve">իրավիճակային խնդիրներ՝ նախատեսված են գնահատելու մրցույթի մասնակիցների վերլուծական մտածողության, արագ կողմնորոշվելու և գործնական իրավիճակներում ճիշտ որոշումներ կայացնելու ունակությունների գնահատմանը։</w:t>
      </w:r>
    </w:p>
    <w:p>
      <w:pPr>
        <w:numPr>
          <w:ilvl w:val="0"/>
          <w:numId w:val="7"/>
        </w:numPr>
      </w:pPr>
      <w:r>
        <w:rPr/>
        <w:t xml:space="preserve">Հարցաշարերի բովանդակությունը թարմացվում են առնվազն յուրաքանչյուր երկու տարին մեկ անգամ, ինչպես նաև անհապաղ՝ ՀՀ օրենսդրական կամ պրակտիկայում անհրաժեշտ փոփոխությունների դեպքում՝ ապահովելով դրանց արդիականությունը և համապատասխանությունը համայնքային ծառայության պահանջներին ու իրականությանը։</w:t>
      </w:r>
    </w:p>
    <w:p>
      <w:pPr>
        <w:numPr>
          <w:ilvl w:val="0"/>
          <w:numId w:val="7"/>
        </w:numPr>
      </w:pPr>
      <w:r>
        <w:rPr/>
        <w:t xml:space="preserve">Հարցաշարերը թարմացվում են առնվազն երկու տարին մեկ անգամ կամ ՀՀ օրենսդրության համապատասխան փոփոխությունների դեպքում։</w:t>
      </w:r>
    </w:p>
    <w:p>
      <w:pPr/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Թեստերի կազմումւը,  թեստային առաջադրանքների բովանդակությունը և քանակը</w:t>
      </w:r>
    </w:p>
    <w:p>
      <w:pPr/>
      <w:r>
        <w:rPr/>
        <w:t xml:space="preserve"> Թեստերի քանակը սահմանվում է համայնքային ծառայության պաշտոնների խմբերի առանձնահատկություններից ելնելով՝</w:t>
      </w:r>
    </w:p>
    <w:p>
      <w:pPr>
        <w:numPr>
          <w:ilvl w:val="0"/>
          <w:numId w:val="8"/>
        </w:numPr>
      </w:pPr>
      <w:r>
        <w:rPr/>
        <w:t xml:space="preserve">Համայնքային ծառայության ուրաքանչյուր պաշտոնի համար հարցաշարերն ընդգրկում են՝</w:t>
      </w:r>
    </w:p>
    <w:p>
      <w:pPr/>
      <w:r>
        <w:rPr/>
        <w:t xml:space="preserve">          ա․ համայնքային ծառայության գլխավոր պաշտոնների խմբի թափուր պաշտոն զբաղեցնելու համար անցկացվող մրցույթի հարցաշարերը պետք է ընդգրկեն առնվազն 150 հարց (խնդիր),</w:t>
      </w:r>
    </w:p>
    <w:p>
      <w:pPr/>
      <w:r>
        <w:rPr/>
        <w:t xml:space="preserve">          բ․ hամայնքային ծառայության առաջատար պաշտոնների խմբի թափուր պաշտոնների համար՝ առնվազն 120 հարց (խնդիր),</w:t>
      </w:r>
    </w:p>
    <w:p>
      <w:pPr/>
      <w:r>
        <w:rPr/>
        <w:t xml:space="preserve">          գ․ hամայնքային ծառայության կրտսեր պաշտոնների խմբի թափուր պաշտոնների համար՝ առնվազն 90 հարց (խնդիր)։</w:t>
      </w:r>
    </w:p>
    <w:p>
      <w:pPr>
        <w:numPr>
          <w:ilvl w:val="0"/>
          <w:numId w:val="9"/>
        </w:numPr>
      </w:pPr>
      <w:r>
        <w:rPr/>
        <w:t xml:space="preserve">Թեստային առաջադրանքները կարող են ունենալ հետևյալ ձևերը՝</w:t>
      </w:r>
    </w:p>
    <w:p>
      <w:pPr/>
      <w:r>
        <w:rPr/>
        <w:t xml:space="preserve">          1) </w:t>
      </w:r>
      <w:r>
        <w:rPr>
          <w:b w:val="1"/>
          <w:bCs w:val="1"/>
        </w:rPr>
        <w:t xml:space="preserve">ճիշտ պատասխանի ընտրություն</w:t>
      </w:r>
      <w:r>
        <w:rPr/>
        <w:t xml:space="preserve">, երբ թեստավորման մասնակցին առաջարկվում է հարց՝ ենթադրյալ պատասխաններով, որոնցից մեկը միանշանակ ճիշտ պատասխանն է, և որոնցից թեստավորման մասնակիցն ընտրում է պատասխանի իր տարբերակը.</w:t>
      </w:r>
    </w:p>
    <w:p>
      <w:pPr/>
      <w:r>
        <w:rPr/>
        <w:t xml:space="preserve">          2) </w:t>
      </w:r>
      <w:r>
        <w:rPr>
          <w:b w:val="1"/>
          <w:bCs w:val="1"/>
        </w:rPr>
        <w:t xml:space="preserve">այլընտրանքային ընտրություն,</w:t>
      </w:r>
      <w:r>
        <w:rPr/>
        <w:t xml:space="preserve"> երբ թեստավորման մասնակիցը հարցին պատասխանում է «այո» կամ «ոչ»։</w:t>
      </w:r>
    </w:p>
    <w:p>
      <w:pPr>
        <w:numPr>
          <w:ilvl w:val="0"/>
          <w:numId w:val="10"/>
        </w:numPr>
      </w:pPr>
      <w:r>
        <w:rPr/>
        <w:t xml:space="preserve">Թեստային առաջադրանքները ընդգրկվում են հետևյալ քանակությամբ հարցեր (խնդիրներ).</w:t>
      </w:r>
    </w:p>
    <w:p>
      <w:pPr>
        <w:numPr>
          <w:ilvl w:val="0"/>
          <w:numId w:val="11"/>
        </w:numPr>
      </w:pPr>
      <w:r>
        <w:rPr/>
        <w:t xml:space="preserve">համայնքային ծառայության գլխավոր պաշտոնների թափուր պաշտոնների համար անցկացվող մրցույթի դեպքում՝ 50 հարց,</w:t>
      </w:r>
    </w:p>
    <w:p>
      <w:pPr>
        <w:numPr>
          <w:ilvl w:val="0"/>
          <w:numId w:val="11"/>
        </w:numPr>
      </w:pPr>
      <w:r>
        <w:rPr/>
        <w:t xml:space="preserve">համայնքային ծառայության առաջատար պաշտոնների թափուր պաշտոնների համար անցկացվող մրցույթի դեպքում՝ 40 հարց,</w:t>
      </w:r>
    </w:p>
    <w:p>
      <w:pPr>
        <w:numPr>
          <w:ilvl w:val="0"/>
          <w:numId w:val="11"/>
        </w:numPr>
      </w:pPr>
      <w:r>
        <w:rPr/>
        <w:t xml:space="preserve">համայնքային ծառայության կրտսեր պաշտոնների թափուր պաշտոնների համար անցկացվող մրցույթի դեպքում՝ 30 հարց։</w:t>
      </w:r>
    </w:p>
    <w:p>
      <w:pPr>
        <w:numPr>
          <w:ilvl w:val="0"/>
          <w:numId w:val="12"/>
        </w:numPr>
      </w:pPr>
      <w:r>
        <w:rPr/>
        <w:t xml:space="preserve">Թեստային առաջադրանքների հարցերը ընդգրկում են հետևյալ բնագավառները՝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Սահմանադրություն` 10 տոկոս.</w:t>
      </w:r>
    </w:p>
    <w:p>
      <w:pPr>
        <w:numPr>
          <w:ilvl w:val="0"/>
          <w:numId w:val="13"/>
        </w:numPr>
      </w:pPr>
      <w:r>
        <w:rPr/>
        <w:t xml:space="preserve">«Համայնքային ծառայության մասին» («Հանրային ծառայության մասին») Հայաստանի Հանրապետության օրենք` 30 տոկոս.</w:t>
      </w:r>
    </w:p>
    <w:p>
      <w:pPr>
        <w:numPr>
          <w:ilvl w:val="0"/>
          <w:numId w:val="13"/>
        </w:numPr>
      </w:pPr>
      <w:r>
        <w:rPr/>
        <w:t xml:space="preserve">տեղական ինքնակառավարման մարմինների իրավասությունը սահմանող Հայաստանի Հանրապետության օրենսդրություն՝60 տոկոս։</w:t>
      </w:r>
    </w:p>
    <w:p>
      <w:pPr>
        <w:numPr>
          <w:ilvl w:val="0"/>
          <w:numId w:val="14"/>
        </w:numPr>
      </w:pPr>
      <w:r>
        <w:rPr/>
        <w:t xml:space="preserve">Թեստային առաջադրանքները կազմելիս՝ անհրաժեշտ է հաշվի առնել հետևյալ պահանջները`</w:t>
      </w:r>
    </w:p>
    <w:p>
      <w:pPr>
        <w:numPr>
          <w:ilvl w:val="0"/>
          <w:numId w:val="15"/>
        </w:numPr>
      </w:pPr>
      <w:r>
        <w:rPr/>
        <w:t xml:space="preserve">պարզ ձևակերպումներ, բացառելով ոչ հստակ կամ բարդ, երկիմաստ հարցերն ու խնդիրները։</w:t>
      </w:r>
    </w:p>
    <w:p>
      <w:pPr>
        <w:numPr>
          <w:ilvl w:val="0"/>
          <w:numId w:val="15"/>
        </w:numPr>
      </w:pPr>
      <w:r>
        <w:rPr/>
        <w:t xml:space="preserve">Հարցերն ու առաջադրանքները պետք է ունենան տրամաբանական կառուցվածք։</w:t>
      </w:r>
    </w:p>
    <w:p>
      <w:pPr>
        <w:numPr>
          <w:ilvl w:val="0"/>
          <w:numId w:val="15"/>
        </w:numPr>
      </w:pPr>
      <w:r>
        <w:rPr/>
        <w:t xml:space="preserve">Ժխտողական կառուցվածք ունեցող առաջադրանքները պետք է լինեն հնարավորինս քիչ, իսկ ժխտողական մասնիկները («Չի», «Չէ», «Ոչ») ընդգծված նշվեն:</w:t>
      </w:r>
    </w:p>
    <w:p>
      <w:pPr>
        <w:numPr>
          <w:ilvl w:val="0"/>
          <w:numId w:val="15"/>
        </w:numPr>
      </w:pPr>
      <w:r>
        <w:rPr/>
        <w:t xml:space="preserve">Պատասխանների տարբերակներում չպետք է օգտագործվեն «Բոլոր վերոգրյալները ճիշտ են (ճիշտ չեն)», «Բոլոր հիմնավորումները ճիշտ են (ճիշտ չեն)», «Թվարկված պատասխանները ճիշտ են (ճիշտ չեն)» և նմանատիպ ձևակերպումներ։</w:t>
      </w:r>
    </w:p>
    <w:p>
      <w:pPr>
        <w:numPr>
          <w:ilvl w:val="0"/>
          <w:numId w:val="15"/>
        </w:numPr>
      </w:pPr>
      <w:r>
        <w:rPr/>
        <w:t xml:space="preserve">Պատասխանների տարբերակներում չպետք է նշվի մասնակի ճիշտ պատասխան։</w:t>
      </w:r>
    </w:p>
    <w:p>
      <w:pPr>
        <w:numPr>
          <w:ilvl w:val="0"/>
          <w:numId w:val="15"/>
        </w:numPr>
      </w:pPr>
      <w:r>
        <w:rPr/>
        <w:t xml:space="preserve">Թեստային առաջադրանքներում բացառվում է գործողությունից հանված կամ դադարեցված իրավական ակտերից հարցերի կիրառումը:</w:t>
      </w:r>
    </w:p>
    <w:p>
      <w:pPr>
        <w:numPr>
          <w:ilvl w:val="0"/>
          <w:numId w:val="16"/>
        </w:numPr>
      </w:pPr>
      <w:r>
        <w:rPr/>
        <w:t xml:space="preserve">Թեստերի բովանդակությունը կազմվում է սույն կարգի 11-րդ կետով սահմանված ոլորտների տոկոսային հարաբերակցությամբ։</w:t>
      </w:r>
    </w:p>
    <w:p>
      <w:pPr>
        <w:numPr>
          <w:ilvl w:val="0"/>
          <w:numId w:val="16"/>
        </w:numPr>
      </w:pPr>
      <w:r>
        <w:rPr/>
        <w:t xml:space="preserve">Թեստավորման ժամանակ կիրառվող համակարգչային ծրագիրը հարցերն ընտրում է պատահականության սկզբունքով՝ նախապես կոդավորված և համակարգչային բազայում ներմուծված հարցերի փաթեթից։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Թեստավորման կազմակերպում և անցկացում</w:t>
      </w:r>
    </w:p>
    <w:p>
      <w:pPr>
        <w:numPr>
          <w:ilvl w:val="0"/>
          <w:numId w:val="17"/>
        </w:numPr>
      </w:pPr>
      <w:r>
        <w:rPr/>
        <w:t xml:space="preserve">Մրցույթն անցկացնելուց ոչ ավելի քան երկու ամիս առաջ, թեստավորման համար նախատեսված հարցաշարերը՝ ներառյալ դրանց միանշանակ ճիշտ պատասխանները, հրապարակվում են համայնքի պաշտոնական տեղեկատվական հարթակում։</w:t>
      </w:r>
    </w:p>
    <w:p>
      <w:pPr>
        <w:numPr>
          <w:ilvl w:val="0"/>
          <w:numId w:val="17"/>
        </w:numPr>
      </w:pPr>
      <w:r>
        <w:rPr/>
        <w:t xml:space="preserve">Թեստավորման համար հարցաշարերից ընտրվող հարցերի (խնդիրների) ընտրությունը կատարվում է համակարգչային ծրագրի միջոցով՝ պատահականության սկզբունքով, թափանցիկության ապահովմամբ։</w:t>
      </w:r>
    </w:p>
    <w:p>
      <w:pPr>
        <w:numPr>
          <w:ilvl w:val="0"/>
          <w:numId w:val="17"/>
        </w:numPr>
      </w:pPr>
      <w:r>
        <w:rPr/>
        <w:t xml:space="preserve">Հարցաշարերը համակարգչային բազայում կոդավորվում և համարակալվում են ըստ պաշտոնների խմբերի և ոլորտների։</w:t>
      </w:r>
    </w:p>
    <w:p>
      <w:pPr>
        <w:numPr>
          <w:ilvl w:val="0"/>
          <w:numId w:val="17"/>
        </w:numPr>
      </w:pPr>
      <w:r>
        <w:rPr/>
        <w:t xml:space="preserve">Համակարգչային բազայում պահվում են նաև յուրաքանչյուր հարցին (խնդրին) համապատասխան պատասխանների տարբերակները, որոնցից միայն մեկը համարվում է միանշանակ ճիշտ։</w:t>
      </w:r>
    </w:p>
    <w:p>
      <w:pPr>
        <w:numPr>
          <w:ilvl w:val="0"/>
          <w:numId w:val="17"/>
        </w:numPr>
      </w:pPr>
      <w:r>
        <w:rPr/>
        <w:t xml:space="preserve">Համակարգչային ծրագիրը պատահականության սկզբունքով ձևավորում է ամբողջական թեստ՝ սահմանված ձևաչափով, և միաժամանակ ստեղծում է ճիշտ պատասխանների ձևանմուշ, որը կնքվում և պահվում է փակ արկղում։</w:t>
      </w:r>
    </w:p>
    <w:p>
      <w:pPr>
        <w:numPr>
          <w:ilvl w:val="0"/>
          <w:numId w:val="17"/>
        </w:numPr>
      </w:pPr>
      <w:r>
        <w:rPr/>
        <w:t xml:space="preserve">Թեստի ամբողջական փաթեթը՝ ներառյալ ճիշտ պատասխանների ձևանմուշը, մրցութային հանձնաժողովը պարտավոր է նախապես պատրաստել և պահպանել թեստավորման օրը։</w:t>
      </w:r>
    </w:p>
    <w:p>
      <w:pPr>
        <w:numPr>
          <w:ilvl w:val="0"/>
          <w:numId w:val="17"/>
        </w:numPr>
      </w:pPr>
      <w:r>
        <w:rPr/>
        <w:t xml:space="preserve">Թեստավորումը կազմակերպվում է մրցութային հանձնաժողովի հսկողությամբ՝ գրավոր կամ համակարգչային եղանակով։</w:t>
      </w:r>
    </w:p>
    <w:p>
      <w:pPr>
        <w:numPr>
          <w:ilvl w:val="0"/>
          <w:numId w:val="17"/>
        </w:numPr>
      </w:pPr>
      <w:r>
        <w:rPr/>
        <w:t xml:space="preserve">Յուրաքանչյուր մրցույթի կամ ատեստավորման համար կազմվում է մեկ ընդհանուր թեստ, որը ներառում է հավասարաչափ բաշխված հարցեր և խնդիրներ՝ ըստ պաշտոնի և մասնագիտական բնագավառի պահանջների։</w:t>
      </w:r>
    </w:p>
    <w:p>
      <w:pPr>
        <w:numPr>
          <w:ilvl w:val="0"/>
          <w:numId w:val="17"/>
        </w:numPr>
      </w:pPr>
      <w:r>
        <w:rPr/>
        <w:t xml:space="preserve">Թեստային առաջադրանքները կազմվում են թեստավորման օրը՝ պատահականության սկզբունքով ընտրված հարցերից և խնդիրներից։</w:t>
      </w:r>
    </w:p>
    <w:p>
      <w:pPr>
        <w:numPr>
          <w:ilvl w:val="0"/>
          <w:numId w:val="17"/>
        </w:numPr>
      </w:pPr>
      <w:r>
        <w:rPr/>
        <w:t xml:space="preserve">Թեստային առաջադրանքները կարող են տրամադրվել մասնակիցներին գրավոր կամ համակարգչային ձևաչափով։</w:t>
      </w:r>
    </w:p>
    <w:p>
      <w:pPr>
        <w:numPr>
          <w:ilvl w:val="0"/>
          <w:numId w:val="17"/>
        </w:numPr>
      </w:pPr>
      <w:r>
        <w:rPr/>
        <w:t xml:space="preserve">Մասնակիցները պարտավոր են պահպանել թեստավորման սահմանված կանոնները և ապահովել ընթացակարգերի լիարժեք կատարումը։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365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EB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71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242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C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20C8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3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FC0D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0F77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5F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CB23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34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53E40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00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D6DE7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3227B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2026-03-31T20:23:56+04:00</dcterms:created>
  <dcterms:modified xsi:type="dcterms:W3CDTF">2026-03-31T20:23:56+04:00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