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««Օրգանական գյուղատնտեսության մասին» օրենքում փոփոխություններ և լրացումներ կատարելու մասին» Հայաստանի Հանրապետության օրենքի  նախագծի ընդունման, ««Հայաստանի Հանրապետության կառավարության 2009 թվականի հունիսի 26-ի n 704-ն որոշման մեջ լարացումներ և փոփոխություններ կատարելու մասին» Հայաստանի Հանրապետության կառավարության որոշման նախագծի ընդունման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«ՕՐԳԱՆԱԿԱՆ ԳՅՈՒՂԱՏՆՏԵՍՈՒԹՅԱՆ ՄԱՍԻՆ» ՕՐԵՆՔՈՒՄ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.  «Օրգանական գյուղատնտեսության մասին» 2008 թվականի ապրիլի 8-ի ՀO-23-Ն օրենքի (այսուհետ` Օրենք) 3-րդ հոդվածի 1-ին մասի 14-րդ կետում «։» կետադրական նշանը փոխարինել «․» կետադրական նշանով։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Օրենքի 3-րդ հոդվածի 1-ին մասը լրացնել նոր 15-րդ կետով՝ հետևյալ բովանդակությամբ․</w:t>
      </w:r>
    </w:p>
    <w:p>
      <w:pPr/>
      <w:r>
        <w:rPr/>
        <w:t xml:space="preserve">«15</w:t>
      </w:r>
      <w:r>
        <w:rPr>
          <w:b w:val="1"/>
          <w:bCs w:val="1"/>
        </w:rPr>
        <w:t xml:space="preserve">) ազգային ստանդարտ</w:t>
      </w:r>
      <w:r>
        <w:rPr/>
        <w:t xml:space="preserve">՝ ստանդարտացման ազգային մարմնի կողմից ընդունված և հանրությանը հասանելի ստանդարտ:»: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Օրենքի 5-րդ հոդվածի 1-ին մասի 6-րդ, 7-րդ և 8-րդ կետերն ուժը կորցրած ճանաչել։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 </w:t>
      </w:r>
      <w:r>
        <w:rPr/>
        <w:t xml:space="preserve">Օրենքի 6-րդ հոդվածի 1-ին մասի 5-րդ կետում «ակտեր» բառից հետո լրացնել «, ներգրավվում է ոլորտային ստանդարտների մշակման և ստանդարտների նախագծերի փորձաքննության աշխատանքներում»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7-րդ հոդվածը լրացնել նոր 4-րդ մասով՝ հետևյալ բովանդակությամբ․</w:t>
      </w:r>
    </w:p>
    <w:p>
      <w:pPr/>
      <w:r>
        <w:rPr/>
        <w:t xml:space="preserve">«4․ Հայաստանի Հանրապետությունում «օրգանական» կամ «անցումային շրջանի օրգանական» արտադրանքի արտադությունը, վերամշակումը, պիտակավորումը և շուկայավարումն իրականացվում է համաձայն՝  ՀՍՏ 370-2015 «Օրգանական սննդամթերքի արտադրության, վերամշակման, պիտակավորման և շուկայավարման ղեկավար ցուցումներ» ազգային ստանդարտի։»։</w:t>
      </w:r>
    </w:p>
    <w:p>
      <w:pPr/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․</w:t>
      </w:r>
      <w:r>
        <w:rPr/>
        <w:t xml:space="preserve"> Օրենքի 8-րդ հոդվածն ուժը կորցրած ճանաչել։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Օրենքի 9-րդ հոդվածի վերնագրից հանել «և պիտակավորումը» բառերը, իսկ 2-րդ մասից՝ «գյուղատնտեսական արտադրանքի, ինչպես նաև օրգանական գյուղատնտեսության անցումային շրջանում գտնվող արտադրանքի մակնշման և պիտակավորման կարգը, ինչպես նաև օրգանական» բառերը։</w:t>
      </w:r>
    </w:p>
    <w:p>
      <w:pPr/>
      <w:r>
        <w:rPr>
          <w:b w:val="1"/>
          <w:bCs w:val="1"/>
        </w:rPr>
        <w:t xml:space="preserve">Հոդված 8.</w:t>
      </w:r>
      <w:r>
        <w:rPr/>
        <w:t xml:space="preserve"> Օրենքի 9-րդ հոդվածի 6-րդ մասում «մակնշման կարգը սահմանում է Հայաստանի Հանրապետությւան կառավարությունը» բառերը փոխարինել «մակնշումն իրականացվում է համաձայն ազգային ստանդարտի» բառերով։</w:t>
      </w:r>
    </w:p>
    <w:p>
      <w:pPr/>
      <w:r>
        <w:rPr>
          <w:b w:val="1"/>
          <w:bCs w:val="1"/>
        </w:rPr>
        <w:t xml:space="preserve">Հոդված 9. </w:t>
      </w:r>
      <w:r>
        <w:rPr/>
        <w:t xml:space="preserve">Օրենքի 10-րդ հոդվածը լրացնել նոր 6-րդ մասով՝ հետևյալ բովանդակությամբ․</w:t>
      </w:r>
    </w:p>
    <w:p>
      <w:pPr/>
      <w:r>
        <w:rPr/>
        <w:t xml:space="preserve">«6․ Հայաստանի Հանրապետությունում օրգանական գյուղատնտեսական գործունեություն ծավալող և արտահանող տնտեսավարող սուբյեկտները, որոնց արտադրանքը`  որպես «օրգանական» կամ «անցումային շրջանի օրգանական» սերտիֆիկացվում է այլ երկրի սերտիֆիկացնող մարմնի կողմից, ևս ենթակա են գրանցման օրգանական գյուղատնտեսությամբ զբաղվող տնտեսավարող սուբյեկտների հաշվառման գրանցամատյանում։»։</w:t>
      </w:r>
    </w:p>
    <w:p>
      <w:pPr/>
      <w:r>
        <w:rPr>
          <w:b w:val="1"/>
          <w:bCs w:val="1"/>
        </w:rPr>
        <w:t xml:space="preserve">Հոդված 10. Եզրափակիչ մաս և անցումային դրույթներ</w:t>
      </w:r>
    </w:p>
    <w:p>
      <w:pPr/>
      <w:r>
        <w:rPr/>
        <w:t xml:space="preserve">1․ Սույն օրենքն ուժի մեջ է մտնում պաշտոնական հրապարակմանը հաջորդող օրվանից։</w:t>
      </w:r>
    </w:p>
    <w:p>
      <w:pPr/>
      <w:r>
        <w:rPr/>
        <w:t xml:space="preserve">2․ Սույն օրենքից բխող ենթաօրենսդրական նորմատիվ իրավական ակտերում անհրաժեշտ փոփոխությունները և լրացումներն ընդունվում են սույն օրենքն ուժի մեջ մտնելուց հետո՝ 90 օրացուցային օրվա ընթացքում։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/>
        <w:t xml:space="preserve">---- ---------------- 2025 թվականի N -------   -Ն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2009 ԹՎԱԿԱՆԻ ՀՈՒՆԻՍԻ 26-Ի N 704-Ն ՈՐՈՇՄԱՆ ՄԵՋ </w:t>
      </w:r>
      <w:r>
        <w:rPr>
          <w:b w:val="1"/>
          <w:bCs w:val="1"/>
        </w:rPr>
        <w:t xml:space="preserve">ՓՈՓՈԽՈՒԹՅՈՒՆՆԵՐ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/>
      <w:r>
        <w:rPr/>
        <w:t xml:space="preserve">1․ Հայաստանի Հանրապետության կառավարության 2009 թվականի հունիսի 26-ի «Օրգանական գյուղատնտեսության ոլորտում համապատասխանության սերտիֆիկատ տալու կարգը և օրգանական գյուղատնտեսական արտադրանքի համապատասխանության նշանի, համապատասխանության սերտիֆիկատի ձևերը հաստատելու մասին» N 704-Ն որոշման (այսուհետ՝ Որոշում) մեջ կատարել հետևյալ փոփոխությունները․</w:t>
      </w:r>
    </w:p>
    <w:p>
      <w:pPr>
        <w:numPr>
          <w:ilvl w:val="0"/>
          <w:numId w:val="2"/>
        </w:numPr>
      </w:pPr>
      <w:r>
        <w:rPr/>
        <w:t xml:space="preserve">Որոշման N 2 հավելվածը շարադրել նոր խմբագրությամբ՝ համաձայն հավելվածի․</w:t>
      </w:r>
    </w:p>
    <w:p>
      <w:pPr>
        <w:numPr>
          <w:ilvl w:val="0"/>
          <w:numId w:val="2"/>
        </w:numPr>
      </w:pPr>
      <w:r>
        <w:rPr/>
        <w:t xml:space="preserve">N 3 հավելվածում տարբերանշանը փոխարինել սույն որոշման 1-ին կետի 1-ին ենթակետով նոր խմբագրությամբ շարադրվող N 2 հավելվածի տարբերանշանով, իսկ ամբողջ տեքստում «200» թվերը փոխարինել «20» թվերով։</w:t>
      </w:r>
    </w:p>
    <w:p>
      <w:pPr/>
      <w:r>
        <w:rPr/>
        <w:t xml:space="preserve">2․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                                                    ՀՀ կառավարության 2025 թվականի</w:t>
      </w:r>
    </w:p>
    <w:p>
      <w:pPr>
        <w:jc w:val="end"/>
      </w:pPr>
      <w:r>
        <w:rPr/>
        <w:t xml:space="preserve">                                                     ------- ———-ի N ————-Ն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                                                   «Հավելված N 2</w:t>
      </w:r>
    </w:p>
    <w:p>
      <w:pPr>
        <w:jc w:val="end"/>
      </w:pPr>
      <w:r>
        <w:rPr/>
        <w:t xml:space="preserve">                                                     ՀՀ կառավարության 2009 թվականի</w:t>
      </w:r>
    </w:p>
    <w:p>
      <w:pPr>
        <w:jc w:val="end"/>
      </w:pPr>
      <w:r>
        <w:rPr/>
        <w:t xml:space="preserve">                                                     ­­­­­հունիսի 26-ի N 704-Ն որոշման</w:t>
      </w:r>
    </w:p>
    <w:p>
      <w:pPr>
        <w:jc w:val="end"/>
      </w:pPr>
      <w:r>
        <w:rPr>
          <w:u w:val="single"/>
        </w:rPr>
        <w:t xml:space="preserve">Ձև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ՕՐԳԱՆԱԿԱՆ ԳՅՈՒՂԱՏՆՏԵՍԱԿԱՆ ԱՐՏԱԴՐԱՆՔԻ ՀԱՄԱՊԱՏԱՍԽԱՆՈՒԹՅԱՆ ՆՇԱՆ</w:t>
      </w:r>
    </w:p>
    <w:p>
      <w:pPr/>
      <w:r>
        <w:rPr/>
        <w:t xml:space="preserve">                                                            </w:t>
      </w:r>
    </w:p>
    <w:p>
      <w:pPr/>
      <w:r>
        <w:rPr/>
        <w:t xml:space="preserve">«Հայաստան օրգանական» տարբերանշանը հանդիսանում է հայկական օրգանական արտադրանքի հավաստման և նշագրման հիմնական խորհրդանիշը, որն ընդգծում է Հայաստանի մշակութային և ազգային ինքնությունը, ինչն արտահայտվում է նռան պատկերով՝ որպես պտղաբերության և հարստության ավանդական խորհրդանիշ:</w:t>
      </w:r>
    </w:p>
    <w:p>
      <w:pPr/>
      <w:r>
        <w:rPr>
          <w:b w:val="1"/>
          <w:bCs w:val="1"/>
        </w:rPr>
        <w:t xml:space="preserve">Խորհրդանիշը</w:t>
      </w:r>
      <w:r>
        <w:rPr/>
        <w:t xml:space="preserve"> – տարբերանշանի կենտրոնական հատվածում տեղադրված են երեք նուռ, որոնք խորհրդանշում են Հայաստանի բնորոշ ազգային պտուղներից մեկը՝ նուռը։ Նուռը հայկական մշակույթում և պատմության մեջ ավանդաբար խորհրդանշում է առատությունն ու հաջողությունը, ինչպես նաև երկրի բերքատու և բնական ռեսուրսներով հարուստ լինելը։ Նռների բազմությունը տարբերանշանի կենտրոնում ստեղծում է առատության և բարգավաճման պատկեր, ինչը համընկնում է օրգանական արտադրանքի գաղափարի հետ։</w:t>
      </w:r>
    </w:p>
    <w:p>
      <w:pPr/>
      <w:r>
        <w:rPr>
          <w:b w:val="1"/>
          <w:bCs w:val="1"/>
        </w:rPr>
        <w:t xml:space="preserve">Գույնը</w:t>
      </w:r>
      <w:r>
        <w:rPr/>
        <w:t xml:space="preserve"> - օգտագործված հիմնական գույները՝ կանաչ և կարմիր, ունեն հատուկ նշանակություն։ Կանաչը ներկայացնում է բնության հանդեպ հարգանքն ու պարտավորվածությունը՝ խորհրդանշելով օրգանական գյուղատնտեսությունը և շրջակա միջավայրի պահպանությունը։ Կարմիրը՝ նռան պտուղների գույնը, խորհրդանշում է Հայաստանի ուժը, ավանդույթները և այն հարուստ մշակութային ժառանգությունը, որից բխում է օրգանական արտադրանքի գաղափարը։</w:t>
      </w:r>
    </w:p>
    <w:p>
      <w:pPr/>
      <w:r>
        <w:rPr>
          <w:b w:val="1"/>
          <w:bCs w:val="1"/>
        </w:rPr>
        <w:t xml:space="preserve">Գրվածքը</w:t>
      </w:r>
      <w:r>
        <w:rPr/>
        <w:t xml:space="preserve"> - հայերենով գրված «Հայաստան Օրգանական» արտահայտությունը, ինչպես նաև "Armenia Organic" անգլերեն գրառումը, ամբողջացնում է տարբերանշանի ազգային ու միջազգային դիմագիծը՝ այն դարձնելով հասկանալի և ընդունելի ինչպես տեղական, այնպես էլ միջազգային շուկայում։</w:t>
      </w:r>
    </w:p>
    <w:p>
      <w:pPr/>
      <w:r>
        <w:rPr>
          <w:b w:val="1"/>
          <w:bCs w:val="1"/>
        </w:rPr>
        <w:t xml:space="preserve">Շրջանակը</w:t>
      </w:r>
      <w:r>
        <w:rPr/>
        <w:t xml:space="preserve"> - տարբերանշանն ունի կլորացված շրջանակ, որն ընդգծում է «կնիքի» գաղափարը, ինչը նշանակում է հավաստում և երաշխիք։ Շրջանակի դիզայնը ստեղծում է պաշտոնականության և վստահության զգացում՝ ցույց տալով, որ «Հայաստան Օրգանական» տարբերանշանն իրականում հանդիսանում է օրգանական արտադրանքի հավաստագիր։</w:t>
      </w:r>
    </w:p>
    <w:p>
      <w:pPr/>
      <w:r>
        <w:rPr>
          <w:b w:val="1"/>
          <w:bCs w:val="1"/>
        </w:rPr>
        <w:t xml:space="preserve">Կիրառումը</w:t>
      </w:r>
      <w:r>
        <w:rPr/>
        <w:t xml:space="preserve"> - տարբերանշանի կենտրոնական գաղափարը հիված է Հայաստանի օրգանական արտադրանքը ճանաչելի դարձնելու վրա։ Այս տարբերանշանը հուշում է, որ ապրանքը համապատասխանում է «Օրգանական գյուղատնտեսության մասին» օրենքի պահանջներին, անցել է համապատասխան ստուգումներ և ունի օրգանական գյուղատնտեսական արտադրանքի համապատասխանության սերտիֆիկատ։ Նշանը, որը կներկայացվի օրգանական արտադրանքների վրա, հանդիսանում է հուսալիության և որակի բարձր ցուցիչ։</w:t>
      </w:r>
    </w:p>
    <w:p>
      <w:pPr/>
      <w:r>
        <w:rPr>
          <w:b w:val="1"/>
          <w:bCs w:val="1"/>
        </w:rPr>
        <w:t xml:space="preserve">Հիմնական տարբերանշանը - </w:t>
      </w:r>
      <w:r>
        <w:rPr/>
        <w:t xml:space="preserve">հիմնական տարբերակը ներկայացված է կանաչ շրջանակով և կարմիր նռներով, նախատեսված է օգտագործման համար միայն բաց գույնի հիմնագույնի վրա՝ ապահովելով տարբերանշանի ճանաչելիությունն ու ընթեռնելիությունը։ Այս տարբերակն է առաջարկվում օգտագործել, երբ հնարավոր է կիրառել ամբողջական գունավոր տարբերակը՝ առանց համադրման խնդիրների։</w:t>
      </w:r>
    </w:p>
    <w:p>
      <w:pPr/>
      <w:r>
        <w:rPr/>
        <w:t xml:space="preserve">                </w:t>
      </w:r>
    </w:p>
    <w:p>
      <w:pPr/>
      <w:r>
        <w:rPr>
          <w:b w:val="1"/>
          <w:bCs w:val="1"/>
        </w:rPr>
        <w:t xml:space="preserve">Երկրորդական տարբերանշանը -</w:t>
      </w:r>
      <w:r>
        <w:rPr/>
        <w:t xml:space="preserve"> երկրորդական տարբերակը նախատեսված է մուգ կամ կանաչ հիմնագույների համար, որպեսզի պահպանվի տարբերանշանի ընթեռնելիությունը և տեսանելիությունը։ Այս տարբերակում շրջանակը և տեքստը ներկայացված են սպիտակ գույնով, իսկ նռները մնում են կարմիր։ Այս տարբերակը ստեղծվել է տեսանելիություն և ընթեռնելիություն ապահովելու համար մուգ հիմնագույներով պիտակների կամ փաթեթավորման կիրառման դեպքում։</w:t>
      </w:r>
    </w:p>
    <w:p>
      <w:pPr/>
      <w:r>
        <w:rPr/>
        <w:t xml:space="preserve">              </w:t>
      </w:r>
    </w:p>
    <w:p>
      <w:pPr/>
      <w:r>
        <w:rPr>
          <w:b w:val="1"/>
          <w:bCs w:val="1"/>
        </w:rPr>
        <w:t xml:space="preserve">Միագույն տարբերակը -</w:t>
      </w:r>
      <w:r>
        <w:rPr/>
        <w:t xml:space="preserve"> նախատեսված է այն դեպքերում, երբ տարբերանշանը տպագրվում է միայն մեկ գույնով՝ արտադրության կամ տեխնիկական պահանջների պատճառով։</w:t>
      </w:r>
    </w:p>
    <w:p>
      <w:pPr/>
      <w:r>
        <w:rPr/>
        <w:t xml:space="preserve">               </w:t>
      </w:r>
    </w:p>
    <w:p>
      <w:pPr/>
      <w:r>
        <w:rPr>
          <w:b w:val="1"/>
          <w:bCs w:val="1"/>
        </w:rPr>
        <w:t xml:space="preserve">Սպիտակ տարբերանշանը՝ մուգ հիմնագույնի վրա</w:t>
      </w:r>
      <w:r>
        <w:rPr/>
        <w:t xml:space="preserve"> - կիրառվում է մուգ գույնի հիմնագույների վրա՝ տարբերանշանը դարձնելով ընթեռնելի։</w:t>
      </w:r>
    </w:p>
    <w:p>
      <w:pPr/>
      <w:r>
        <w:rPr/>
        <w:t xml:space="preserve">                 </w:t>
      </w:r>
    </w:p>
    <w:p>
      <w:pPr/>
      <w:r>
        <w:rPr>
          <w:b w:val="1"/>
          <w:bCs w:val="1"/>
        </w:rPr>
        <w:t xml:space="preserve">Կանաչ տարբերանշանը՝ բաց հիմնագույնի վրա</w:t>
      </w:r>
      <w:r>
        <w:rPr/>
        <w:t xml:space="preserve"> - նախատեսված է բաց գույների վրա օգտագործելու համար։</w:t>
      </w:r>
    </w:p>
    <w:p>
      <w:pPr/>
      <w:r>
        <w:rPr>
          <w:b w:val="1"/>
          <w:bCs w:val="1"/>
        </w:rPr>
        <w:t xml:space="preserve">Սև տարբերանշանը՝ բաց կամ մուգ հիմնագույնի վրա -</w:t>
      </w:r>
      <w:r>
        <w:rPr/>
        <w:t xml:space="preserve"> նախատեսված է միագույն և բազմագույն տպագրությունների համար։</w:t>
      </w:r>
    </w:p>
    <w:p>
      <w:pPr/>
      <w:r>
        <w:rPr/>
        <w:t xml:space="preserve">                 </w:t>
      </w:r>
    </w:p>
    <w:p>
      <w:pPr/>
      <w:r>
        <w:rPr>
          <w:b w:val="1"/>
          <w:bCs w:val="1"/>
        </w:rPr>
        <w:t xml:space="preserve">Սև տարբերանշանը՝ բաց հիմնագույնի վրա</w:t>
      </w:r>
      <w:r>
        <w:rPr/>
        <w:t xml:space="preserve"> - տարբերանշանի սև գույնի տարբերակը նախատեսված է միագույն և բազմագույն տպագրությունների համար, որտեղ հիմնագույնը բաց է կամ սպիտակ։</w:t>
      </w:r>
    </w:p>
    <w:p>
      <w:pPr/>
      <w:r>
        <w:rPr>
          <w:b w:val="1"/>
          <w:bCs w:val="1"/>
        </w:rPr>
        <w:t xml:space="preserve">Սպիտակ տարբերանշանը՝ մուգ հիմնագույնի վրա –</w:t>
      </w:r>
      <w:r>
        <w:rPr/>
        <w:t xml:space="preserve"> տարբերանշանի սպիտակ գույնի տարբերակը նախատեսված է միագույն և բազմագույն տպագրությունների համար որտեղ հիմնագույնը մուգ է կամ պարունակում է մուգ գույնի պատկեր։</w:t>
      </w:r>
    </w:p>
    <w:p>
      <w:pPr/>
      <w:r>
        <w:rPr>
          <w:b w:val="1"/>
          <w:bCs w:val="1"/>
        </w:rPr>
        <w:t xml:space="preserve">Տարբերանշանի անթույլատրելի կիրառումը</w:t>
      </w:r>
      <w:r>
        <w:rPr/>
        <w:t xml:space="preserve"> - տարբերանշանի ձևի փոփոխությունները, գունային տարբերությունները կամ ակնհայտ փոփոխությունները խստորեն արգելվում են։</w:t>
      </w:r>
    </w:p>
    <w:p>
      <w:pPr/>
      <w:r>
        <w:rPr/>
        <w:t xml:space="preserve">«Հայաստան օրգանական» տարբերանշանը հանդիսանում է պետական հավաստագիր և ճանաչելի խորհրդանիշ, որում արտահայտվում են Հայաստանի օրգանական արտադրանքի որակի չափանիշները և բնապահպանական հավատարմությունը։ Տարբերանշանի օգտագործման ձևի փոփոխությունը կարող է վնասել դրա ճանաչելիությանը և արժեզրկել այն, ինչն ի վերջո կարող է տարակուսանք առաջացնել սպառողների շրջանում:  </w:t>
      </w:r>
    </w:p>
    <w:p>
      <w:pPr/>
      <w:r>
        <w:rPr>
          <w:b w:val="1"/>
          <w:bCs w:val="1"/>
        </w:rPr>
        <w:t xml:space="preserve">Գույները</w:t>
      </w:r>
      <w:r>
        <w:rPr/>
        <w:t xml:space="preserve"> - տարբերանշանի գունային ներկապնակը հիմնված է երկու հիմնական գույների վրա՝ Արարատյան կանաչ և Նռան կարմիր։ Տարբերանշանի գույները պետք է խստորեն պահպանվեն և օգտագործվեն համապատասխան գունային մոդելների՝ RGB, CMYK և HEX կոդերով։</w:t>
      </w:r>
    </w:p>
    <w:p>
      <w:pPr/>
      <w:r>
        <w:rPr>
          <w:b w:val="1"/>
          <w:bCs w:val="1"/>
        </w:rPr>
        <w:t xml:space="preserve">RGB</w:t>
      </w:r>
      <w:r>
        <w:rPr/>
        <w:t xml:space="preserve"> – նախատեսված է թվային կրիչների համար, օրինակ՝ կայքեր, սոցիալական մեդիա և այլ թվային հարթակներ։ RGB գունային մոդելը լավագույնս ներկայացնում է գույների պայծառությունն էկրանների վրա։</w:t>
      </w:r>
    </w:p>
    <w:p>
      <w:pPr/>
      <w:r>
        <w:rPr>
          <w:b w:val="1"/>
          <w:bCs w:val="1"/>
        </w:rPr>
        <w:t xml:space="preserve">CMYK</w:t>
      </w:r>
      <w:r>
        <w:rPr/>
        <w:t xml:space="preserve"> – նախատեսված է տպագրության համար, ներառյալ փաթեթավորում, պիտակներ և ցանկացած տպագիր նյութեր։ CMYK գունային մոդելն ապահովում է ճշգրիտ գույնի վերարտադրությունը տպագրության ժամանակ։</w:t>
      </w:r>
    </w:p>
    <w:p>
      <w:pPr/>
      <w:r>
        <w:rPr>
          <w:b w:val="1"/>
          <w:bCs w:val="1"/>
        </w:rPr>
        <w:t xml:space="preserve">HEX</w:t>
      </w:r>
      <w:r>
        <w:rPr/>
        <w:t xml:space="preserve"> – կիրառվում է վեբ դիզայնի և ցանկացած HTML կամ CSS կոդավորման համար։ HEX գույնն ապահովում է գունային միատարրությունը թվային միջավայրում։</w:t>
      </w:r>
    </w:p>
    <w:p>
      <w:pPr/>
      <w:r>
        <w:rPr>
          <w:b w:val="1"/>
          <w:bCs w:val="1"/>
        </w:rPr>
        <w:t xml:space="preserve">Նռան կարմիր</w:t>
      </w:r>
    </w:p>
    <w:p>
      <w:pPr/>
      <w:r>
        <w:rPr>
          <w:b w:val="1"/>
          <w:bCs w:val="1"/>
        </w:rPr>
        <w:t xml:space="preserve">RGB: 232 / 39 / 62</w:t>
      </w:r>
    </w:p>
    <w:p>
      <w:pPr/>
      <w:r>
        <w:rPr>
          <w:b w:val="1"/>
          <w:bCs w:val="1"/>
        </w:rPr>
        <w:t xml:space="preserve">CMYK: 0 / 100 / 80 / 0</w:t>
      </w:r>
    </w:p>
    <w:p>
      <w:pPr/>
      <w:r>
        <w:rPr>
          <w:b w:val="1"/>
          <w:bCs w:val="1"/>
        </w:rPr>
        <w:t xml:space="preserve">HEX: #E8273E</w:t>
      </w:r>
    </w:p>
    <w:p>
      <w:pPr/>
      <w:r>
        <w:rPr>
          <w:b w:val="1"/>
          <w:bCs w:val="1"/>
        </w:rPr>
        <w:t xml:space="preserve">Արարատյան կանաչ</w:t>
      </w:r>
    </w:p>
    <w:p>
      <w:pPr/>
      <w:r>
        <w:rPr>
          <w:b w:val="1"/>
          <w:bCs w:val="1"/>
        </w:rPr>
        <w:t xml:space="preserve">RGB: 50 / 163 / 60</w:t>
      </w:r>
    </w:p>
    <w:p>
      <w:pPr/>
      <w:r>
        <w:rPr>
          <w:b w:val="1"/>
          <w:bCs w:val="1"/>
        </w:rPr>
        <w:t xml:space="preserve">CMYK: 80 / 10 / 100 / 0</w:t>
      </w:r>
    </w:p>
    <w:p>
      <w:pPr/>
      <w:r>
        <w:rPr>
          <w:b w:val="1"/>
          <w:bCs w:val="1"/>
        </w:rPr>
        <w:t xml:space="preserve">HEX: #32A33C</w:t>
      </w:r>
    </w:p>
    <w:p>
      <w:pPr/>
      <w:r>
        <w:rPr/>
        <w:t xml:space="preserve">                       </w:t>
      </w:r>
    </w:p>
    <w:p>
      <w:pPr/>
      <w:r>
        <w:rPr>
          <w:b w:val="1"/>
          <w:bCs w:val="1"/>
        </w:rPr>
        <w:t xml:space="preserve">Տառատեսակ</w:t>
      </w:r>
      <w:r>
        <w:rPr/>
        <w:t xml:space="preserve"> - տարբերանշանում կիրառվում են երկու հիմնական տառատեսակներ, որոնցից յուրաքանչյուրն ունի հատուկ նպատակ՝ ապահովելու թե՛ տարբերանշանի տեսողական ազդեցությունը, թե՛ տեխնիկական տեղեկությունների ընթեռնելիությունը։</w:t>
      </w:r>
    </w:p>
    <w:p>
      <w:pPr/>
      <w:r>
        <w:rPr>
          <w:b w:val="1"/>
          <w:bCs w:val="1"/>
        </w:rPr>
        <w:t xml:space="preserve">Braind Caption</w:t>
      </w:r>
      <w:r>
        <w:rPr>
          <w:b w:val="1"/>
          <w:bCs w:val="1"/>
        </w:rPr>
        <w:t xml:space="preserve"> - </w:t>
      </w:r>
      <w:r>
        <w:rPr/>
        <w:t xml:space="preserve">Այս տառատեսակը օգտագործվում է տարբերանշանի հիմնական տեքստի համար, ընդգծելով բրենդի ինքնությունն ու ազգային առանձնահատկությունը։ Այս տառատեսակը ներդաշնակ է տարբերանշանի գունային և տեսողական տարրերի հետ՝ փոխանցելով վստահության և հուսալիության զգացում:</w:t>
      </w:r>
    </w:p>
    <w:p>
      <w:pPr/>
      <w:r>
        <w:rPr>
          <w:b w:val="1"/>
          <w:bCs w:val="1"/>
        </w:rPr>
        <w:t xml:space="preserve">Mardoto</w:t>
      </w:r>
      <w:r>
        <w:rPr/>
        <w:t xml:space="preserve"> - Տառատեսակը կիրառվում է տեխնիկական տեղեկությունների համար, ինչպիսիք են հավաստագրի, սերտիֆիկատ տվող մարմնի մասին տեղեկատվությունը։ Այս տառատեսակն ապահովում է հեշտ ընթեռնելիություն՝ մանր տպագիր տեքստերի համար՝ պահպանելով բրենդի պրոֆեսիոնալ և պաշտոնական բնույթը։</w:t>
      </w:r>
    </w:p>
    <w:p>
      <w:pPr/>
      <w:r>
        <w:rPr>
          <w:b w:val="1"/>
          <w:bCs w:val="1"/>
        </w:rPr>
        <w:t xml:space="preserve">Համատեղ կիրառում այլ տարբերանշանների հետ</w:t>
      </w:r>
      <w:r>
        <w:rPr>
          <w:b w:val="1"/>
          <w:bCs w:val="1"/>
        </w:rPr>
        <w:t xml:space="preserve"> – </w:t>
      </w:r>
      <w:r>
        <w:rPr/>
        <w:t xml:space="preserve">տարբերանշանը  կարող է կիրառվել այլ տարբերանշանների հետ, ինչպիսիք են՝ «ԵՄ օրգանական» տարբերանշանը։ Համատեղ կիրառման դեպքում անհրաժեշտ է ապահովել, որ երկու տարբերանշաններն էլ ունենան համապատասխան տարածություն և հստակ տեսանելիություն՝ պահպանելով նրանց կիառման անհատական չափանիշները։</w:t>
      </w:r>
    </w:p>
    <w:p>
      <w:pPr/>
      <w:r>
        <w:rPr>
          <w:b w:val="1"/>
          <w:bCs w:val="1"/>
        </w:rPr>
        <w:t xml:space="preserve">Հեռավորությունը </w:t>
      </w:r>
      <w:r>
        <w:rPr>
          <w:b w:val="1"/>
          <w:bCs w:val="1"/>
        </w:rPr>
        <w:t xml:space="preserve">- </w:t>
      </w:r>
      <w:r>
        <w:rPr/>
        <w:t xml:space="preserve">«Հայաստան օրգանական» և մյուս տարբերանշանների միջև տարածությունը պետք է լինի ոչ պակաս, քան տարբերանշանի ներքին սպիտակ շրջանի կեսը։ Այս հեռավորությունն ապահովում է տարբերանշանների ինքնուրույնությունը և ընթեռնելիությունը՝ կանխելով նրանց միաձուլումը։</w:t>
      </w:r>
    </w:p>
    <w:p>
      <w:pPr/>
      <w:r>
        <w:rPr>
          <w:b w:val="1"/>
          <w:bCs w:val="1"/>
        </w:rPr>
        <w:t xml:space="preserve">Չափսերը - </w:t>
      </w:r>
      <w:r>
        <w:rPr/>
        <w:t xml:space="preserve">համատեղ օգտագործման ժամանակ «ԵՄ օրգանական» կամ այլ տարբերանշանների բարձրությունը պետք է լինի փոքր-ինչ փոքր «Հայաստան օրգանական» տարբերանշանից։ Մասնավորապես, այդ բարձրությունը որոշվում է տարբերանշանի ծաղկային դիզայնի ստորին կետի մակարդակից։</w:t>
      </w:r>
    </w:p>
    <w:p>
      <w:pPr/>
      <w:r>
        <w:rPr/>
        <w:t xml:space="preserve">    </w:t>
      </w:r>
    </w:p>
    <w:p>
      <w:pPr/>
      <w:r>
        <w:rPr>
          <w:b w:val="1"/>
          <w:bCs w:val="1"/>
        </w:rPr>
        <w:t xml:space="preserve">Սերտիֆիկացման տեղեկատվության տեղադրում տարբերանշանի հետ - «</w:t>
      </w:r>
      <w:r>
        <w:rPr/>
        <w:t xml:space="preserve">Հայաստան օրգանական» տարբերանշանի կողքին կամ ներքևում պարտադիր է նշել հավաստագրման վերաբերյալ տեղեկատվությունը՝ նշելով հավաստագրող մարմնի իրավաբանական անվանումը: Տեղեկատվությունը կարող է տեղադրվել տարբերանշանի բոլոր կողմերում, սակայն առավել ցանկալի է այն տեղադրել աջ կողմում՝ հորիզոնական դիրքում, կամ անմիջապես ներքևում՝ ուղղահայաց դիրքում։ Հորիզոնական դիրքի դեպքում տեքստի բարձրությունը պետք է կազմի տարբերանշանի բարձրության 40%-ից մինչև 50%-ը՝ ապահովելով համաչափություն։</w:t>
      </w:r>
    </w:p>
    <w:p>
      <w:pPr/>
      <w:r>
        <w:rPr>
          <w:b w:val="1"/>
          <w:bCs w:val="1"/>
        </w:rPr>
        <w:t xml:space="preserve">Սերտիֆիկացման տեղեկատվության տեղադրում տարբերանշանի հետ, ուղղահայաց կիրառում - </w:t>
      </w:r>
      <w:r>
        <w:rPr/>
        <w:t xml:space="preserve">ուղղահայաց դիրքում տեքստը պետք է կազմի տարբերանշանի բարձրության 20%-ից մինչև 40%-ը՝ պահպանելով տարբերանշանի և տեղեկատվության միջև համաչափ տեսողական հավասարակշռությունը։</w:t>
      </w:r>
    </w:p>
    <w:p>
      <w:pPr/>
      <w:r>
        <w:rPr>
          <w:b w:val="1"/>
          <w:bCs w:val="1"/>
        </w:rPr>
        <w:t xml:space="preserve">Կիրառման օրինակներ - </w:t>
      </w:r>
      <w:r>
        <w:rPr/>
        <w:t xml:space="preserve">«Հայաստան օրգանական» տարբերանշանը պիտակների վրա օգտագործելու ժամանակ անհրաժեշտ է հետևել որոշակի չափորոշիչների, որոնք ապահովում են դրա ճանաչելիությունը և ընկալելիությունը։ Տարբերանշանը պետք է լինի պարզ և հստակ, անկախ այն ձևից կամ չափից, որտեղ այն կիրառվում է։»։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Հայաստանի Հանրապետության </w:t>
      </w:r>
    </w:p>
    <w:p>
      <w:pPr/>
      <w:r>
        <w:rPr>
          <w:b w:val="1"/>
          <w:bCs w:val="1"/>
        </w:rPr>
        <w:t xml:space="preserve">                          վարչապետ՝                                                         Ն.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8F5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2026-04-03T17:13:48+04:00</dcterms:created>
  <dcterms:modified xsi:type="dcterms:W3CDTF">2026-04-03T17:13:48+04:00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