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ՔԱՂԱՔԱՇԻՆՈՒԹՅԱՆ ԿՈՄԻՏԵԻ  ՆԱԽԱԳԱՀԻ 2022 ԹՎԱԿԱՆԻ ՀՈԿՏԵՄԲԵՐԻ 3-Ի N 25-Ն ՀՐԱՄԱՆՈՒՄ ՓՈՓՈԽՈՒԹՅՈՒՆՆԵՐ ԵՎ ԼՐԱՑՈՒՄ ԿԱՏԱՐԵԼՈՒ ՄԱՍԻՆ» ՀԱՅԱՍՏԱՆԻ ՀԱՆՐԱՊԵՏՈՒԹՅԱՆ ՔԱՂԱՔԱՇԻՆՈՒԹՅԱՆ ԿՈՄԻՏԵԻ ՆԱԽԱԳԱՀԻ ՀՐԱՄԱՆԻ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ՔԱՂԱՔԱՇԻՆՈՒԹՅԱՆ ԿՈՄԻՏԵ</w:t>
      </w:r>
    </w:p>
    <w:p>
      <w:pPr>
        <w:jc w:val="center"/>
      </w:pPr>
      <w:r>
        <w:rPr/>
        <w:t xml:space="preserve">ՆԱԽԱԳԱՀ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 » ___________2025 թ.                                                   N____________-Ն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ԿՈՄԻՏԵԻ </w:t>
      </w:r>
    </w:p>
    <w:p>
      <w:pPr>
        <w:jc w:val="center"/>
      </w:pPr>
      <w:r>
        <w:rPr>
          <w:b w:val="1"/>
          <w:bCs w:val="1"/>
        </w:rPr>
        <w:t xml:space="preserve">ՆԱԽԱԳԱՀԻ 2022 ԹՎԱԿԱՆԻ ՀՈԿՏԵՄԲԵՐԻ 3-Ի N 25-Ն ՀՐԱՄԱՆՈՒՄ ՓՈՓՈԽՈՒԹՅՈՒՆՆԵՐ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__________________________________________________________________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Հիմք ընդունելով «Քաղաքաշինության մասին» օրենքի 10.1-ին հոդվածի 3-րդ մասի 5.1-ին կետը, «Նորմատիվ իրավական ակտերի մասին» օրենքի 33-րդ և 34-րդ հոդվածները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1. Հայաստանի Հանրապետության քաղաքաշինության կոմիտեի նախագահի 2022 թվականի հոկտեմբերի 3-ի «ՀՀՇՆ 31-03.04-2022 «Նախադպրոցական հաստատությունների շենքեր. Նախագծման նորմեր» Հայաստանի Հանրապետության շինարարական նորմերը հաստատելու մասին» N 25-Ն հրամանի հավելվածի (այսուհետ՝ Հավելված)՝</w:t>
      </w:r>
    </w:p>
    <w:p>
      <w:pPr>
        <w:numPr>
          <w:ilvl w:val="0"/>
          <w:numId w:val="2"/>
        </w:numPr>
      </w:pPr>
      <w:r>
        <w:rPr/>
        <w:t xml:space="preserve">4-րդ կետի.</w:t>
      </w:r>
    </w:p>
    <w:p>
      <w:pPr/>
      <w:r>
        <w:rPr/>
        <w:t xml:space="preserve">ա. 1-ին ենթակետը շարադրել հետևյալ խմբագրությամբ.</w:t>
      </w:r>
    </w:p>
    <w:p>
      <w:pPr/>
      <w:r>
        <w:rPr/>
        <w:t xml:space="preserve">«</w:t>
      </w:r>
    </w:p>
    <w:tbl>
      <w:tblGrid>
        <w:gridCol w:w="540" w:type="dxa"/>
        <w:gridCol w:w="2880" w:type="dxa"/>
        <w:gridCol w:w="6675" w:type="dxa"/>
      </w:tblGrid>
      <w:tblPr>
        <w:tblW w:w="10095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ՀՀՇՆ 21-01.01-2024</w:t>
            </w:r>
          </w:p>
        </w:tc>
        <w:tc>
          <w:tcPr>
            <w:tcW w:w="6675" w:type="dxa"/>
            <w:noWrap/>
          </w:tcPr>
          <w:p>
            <w:pPr/>
            <w:r>
              <w:rPr/>
              <w:t xml:space="preserve">ՀՀ քաղաքաշինության կոմիտեի նախագահի 2024 թվականի փետրվարի 22-ի N 10-Ն հրամանով հաստատված  ՀՀՇՆ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 շինարարական նորմեր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բ. 10-րդ ենթակետը շարադրել հետևյալ խմբագրությամբ.</w:t>
      </w:r>
    </w:p>
    <w:p>
      <w:pPr/>
      <w:r>
        <w:rPr/>
        <w:t xml:space="preserve">«</w:t>
      </w:r>
    </w:p>
    <w:tbl>
      <w:tblGrid>
        <w:gridCol w:w="540" w:type="dxa"/>
        <w:gridCol w:w="2880" w:type="dxa"/>
        <w:gridCol w:w="6675" w:type="dxa"/>
      </w:tblGrid>
      <w:tblPr>
        <w:tblW w:w="10095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10)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ՀՀՇՆ 30-01-2023</w:t>
            </w:r>
          </w:p>
        </w:tc>
        <w:tc>
          <w:tcPr>
            <w:tcW w:w="6675" w:type="dxa"/>
            <w:noWrap/>
          </w:tcPr>
          <w:p>
            <w:pPr/>
            <w:r>
              <w:rPr/>
              <w:t xml:space="preserve">ՀՀ քաղաքաշինության կոմիտեի նախագահի 2023 թվականի մայիսի 22-ի N 04-Ն հրամանով հաստատված ՀՀՇՆ 30-01-2023 «Քաղաքաշինություն. Քաղաքային և գյուղական բնակավայրերի հատակագծում և կառուցապատում» շինարարական նորմեր</w:t>
            </w:r>
          </w:p>
        </w:tc>
      </w:tr>
    </w:tbl>
    <w:p>
      <w:pPr/>
      <w:r>
        <w:rPr/>
        <w:t xml:space="preserve">»,</w:t>
      </w:r>
    </w:p>
    <w:p>
      <w:pPr/>
      <w:r>
        <w:rPr/>
        <w:t xml:space="preserve">գ. 36-րդ ենթակետը շարադրել հետևյալ խմբագրությամբ.</w:t>
      </w:r>
    </w:p>
    <w:p>
      <w:pPr/>
      <w:r>
        <w:rPr/>
        <w:t xml:space="preserve">«</w:t>
      </w:r>
    </w:p>
    <w:tbl>
      <w:tblGrid>
        <w:gridCol w:w="540" w:type="dxa"/>
        <w:gridCol w:w="2880" w:type="dxa"/>
        <w:gridCol w:w="6675" w:type="dxa"/>
      </w:tblGrid>
      <w:tblPr>
        <w:tblW w:w="10095" w:type="dxa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36)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ՀՀ առողջապահության նախարարի հրաման</w:t>
            </w:r>
          </w:p>
        </w:tc>
        <w:tc>
          <w:tcPr>
            <w:tcW w:w="6675" w:type="dxa"/>
            <w:noWrap/>
          </w:tcPr>
          <w:p>
            <w:pPr/>
            <w:r>
              <w:rPr/>
              <w:t xml:space="preserve">ՀՀ առողջապահության նախարարի 2024 թվականի փետրվարի 12-ի N 50-Ն հրամանով հաստատված «Նախադպրոցական ուսումնական հաստատություններին ներկայացվող պահանջներ» 2.1.2.001-24 սանիտարական կանոնների և հիգիենիկ նորմատիվներ</w:t>
            </w:r>
          </w:p>
        </w:tc>
      </w:tr>
    </w:tbl>
    <w:p>
      <w:pPr/>
      <w:r>
        <w:rPr/>
        <w:t xml:space="preserve">»,</w:t>
      </w:r>
    </w:p>
    <w:p>
      <w:pPr>
        <w:jc w:val="both"/>
      </w:pPr>
      <w:r>
        <w:rPr/>
        <w:t xml:space="preserve">2) բոլոր տեղերում «ՀՀ քաղաքաշինության նախարարի 2014 թվականի հոկտեմբերի 14-ի N 263-Ն հրամանով հաստատված ՀՀՇՆ 30-01-2014» բառերը փոխարինել «ՀՀ քաղաքաշինության կոմիտեի նախագահի 2023 թվականի մայիսի 22-ի N 04-Ն հրամանով հաստատված ՀՀՇՆ 30-01-2023» բառերով, «ՀՀ քաղաքաշինության նախարարի 2005 թվականի մայիսի 2-ի N 75-Ն հրամանով հաստատված ՀՀՇՆ II-8.04.02-2005» բառերը փոխարինել «ՀՀ քաղաքաշինության կոմիտեի նախագահի 2024 թվականի փետրվարի 22-ի N 10-Ն հրամանով հաստատված  ՀՀՇՆ 21-01.01-2024» բառերով, «ՀՀ առողջապահության նախարարի 2002 թվականի դեկտեմբերի 20-ի N 857 հրամանով հաստատված N 2.III.1 սանիտարական նորմեր և կանոններ» բառերը փոխարինել «ՀՀ առողջապահության նախարարի 2024 թվականի փետրվարի 12-ի N 50-Ն հրամանով հաստատված «Նախադպրոցական ուսումնական հաստատություններին ներկայացվող պահանջներ» 2.1.2.001-24 սանիտարական կանոններ և հիգիենիկ նորմատիվներ» բառերով՝ համապատասխան հոլովաձևերով,</w:t>
      </w:r>
    </w:p>
    <w:p>
      <w:pPr>
        <w:jc w:val="both"/>
      </w:pPr>
      <w:r>
        <w:rPr/>
        <w:t xml:space="preserve">3) 38-րդ կետում «հիմնական մասնաշենքից առնվազն 25 մետր հեռավորությամբ, համաձայն ՀՀ առողջապահության նախարարի 2002 թվականի դեկտեմբերի 20-ի N 857 հրամանով հաստատված III.1 սանիտարական նորմերի և կանոնների» բառերը փոխարինել «հիմնական մասնաշենքից առնվազն 15մ հեռավորությամբ, համաձայն ՀՀ առողջապահության նախարարի 2024 թվականի փետրվարի 12-ի N 50-Ն հրամանով հաստատված «Նախադպրոցական ուսումնական հաստատություններին ներկայացվող պահանջներ» 2.1.2.001-24 սանիտարական կանոնների և հիգիենիկ նորմատիվների» բառերով,</w:t>
      </w:r>
    </w:p>
    <w:p>
      <w:pPr/>
      <w:r>
        <w:rPr/>
        <w:t xml:space="preserve">4) 78-րդ կետը ուժը կորցրած ճանաչել,</w:t>
      </w:r>
    </w:p>
    <w:p>
      <w:pPr/>
      <w:r>
        <w:rPr/>
        <w:t xml:space="preserve">5) 95-րդ կետը ուժը կորցրած ճանաչել,</w:t>
      </w:r>
    </w:p>
    <w:p>
      <w:pPr/>
      <w:r>
        <w:rPr/>
        <w:t xml:space="preserve">6) 5-րդ աղյուսակի 2-րդ կետի 3-րդ ենթակետի «Շենքի կամ համալիրի բնութագիրը» սունյակը շարադրել հետևյալ խմբագրությամբ.</w:t>
      </w:r>
    </w:p>
    <w:p>
      <w:pPr/>
      <w:r>
        <w:rPr/>
        <w:t xml:space="preserve">«Նախադպրոցական ուսումնական հաստատություն՝ մինչև 5 խումբ (մինչև 50 երեխաների համար) տարողությամբ մանկապարտեզ (2-6 տարեկանների ընդգրկմամբ), որոնք տեղակայվում են ինչպես առանձին շենքերում, այնպես էլ ներկառուցված (ներկառուցված-կցակառուցված) կամ կցակառուցված բազմաբնակարան բնակելի շենքերին։»,</w:t>
      </w:r>
    </w:p>
    <w:p>
      <w:pPr/>
      <w:r>
        <w:rPr/>
        <w:t xml:space="preserve">7) 207-րդ կետից «և սակավակազմ» բառերը հանել,</w:t>
      </w:r>
    </w:p>
    <w:p>
      <w:pPr/>
      <w:r>
        <w:rPr/>
        <w:t xml:space="preserve">8) 7-րդ աղյուսակի.</w:t>
      </w:r>
    </w:p>
    <w:p>
      <w:pPr/>
      <w:r>
        <w:rPr/>
        <w:t xml:space="preserve">ա. 3-րդ սունյակից «Սակավակազմ նախադպրոցական ուսումնական հաստատություններ» բառերը հանել,</w:t>
      </w:r>
    </w:p>
    <w:p>
      <w:pPr/>
      <w:r>
        <w:rPr/>
        <w:t xml:space="preserve">բ. 7-րդ կետից «Սակավակազմ նախադպրոցական ուսումնական հաստատությունների և» բառերը հանել:</w:t>
      </w:r>
    </w:p>
    <w:p>
      <w:pPr/>
      <w:r>
        <w:rPr/>
        <w:t xml:space="preserve">2. Հավելվածը լրացնել նոր՝ 14.1-ին բաժնով՝ հետևալ բովանդակությամբ.</w:t>
      </w:r>
    </w:p>
    <w:p>
      <w:pPr/>
      <w:r>
        <w:rPr>
          <w:b w:val="1"/>
          <w:bCs w:val="1"/>
        </w:rPr>
        <w:t xml:space="preserve">«14.1. ՍԱԿԱՎԱԿԱԶՄ ՆԱԽԱԴՊՐՈՑԱԿԱՆ ՈՒՍՈՒՄՆԱԿԱՆ ՀԱՍՏԱՏՈՒԹՅՈՒՆՆԵՐԻ ՆԱԽԱԳԾՄԱՆ ՊԱՀԱՆՋՆԵՐ</w:t>
      </w:r>
    </w:p>
    <w:p>
      <w:pPr>
        <w:jc w:val="both"/>
      </w:pPr>
      <w:r>
        <w:rPr/>
        <w:t xml:space="preserve">136.1 Սակավակազմ նախադպրոցական ուսումնական հաստատությունները իրավաբանական անձի կարգավիճակ ունեցող ոչ պետական նախադպրոցական ուսումնական հաստատություններ են, որոնք կարող են տեղակայվել ինչպես առանձին շենքերում, այնպես էլ ներկառուցված (ներկառուցված-կցակառուցված) կամ կցակառուցված բազմաբնական լինել բնակելի և հասարակական շենքերին։ Դրանք նախատեսվում են մինչև 5 խումբ (մինչև 50 երեխաների համար) տարողությամբ։</w:t>
      </w:r>
    </w:p>
    <w:p>
      <w:pPr>
        <w:jc w:val="both"/>
      </w:pPr>
      <w:r>
        <w:rPr/>
        <w:t xml:space="preserve">136.2. Սակավակազմ նախադպրոցական ուսումնական հաստատություների կառուցապատման տարածքներում անհրաժեշտ է նախատեսել խաղային և տնտեսական գոտիներ: Խաղային գոտին պետք է ներառի խմբային, ընդհանուր ֆիզկուլտուրայի-մարմնամարզային հարթակներ և կանաչապատ տարածքներ, իսկ տնտեսական գոտիներում՝ ապրանքների բեռնաթափման համար տնտեսական հարթակ։ Խաղային գոտու համար պայմանների բացակայության դեպքում երեխաների խաղերը թույլատրվում է կազմակերպել սակավակազմ նախադպրոցական ուսումնական հաստատություներից դուրս և դրանց մինչև 70 մ հեռավորության վրա տեղակայված համապատասխան խաղային սարքավորումներով ու սանիտարահիգիենիկ պայմաններով ապահոված մանկական խաղահրապարակներում։</w:t>
      </w:r>
    </w:p>
    <w:p>
      <w:pPr>
        <w:jc w:val="both"/>
      </w:pPr>
      <w:r>
        <w:rPr/>
        <w:t xml:space="preserve">136.3. Սակավակազմ նախադպրոցական ուսումնական հաստատություների աղբահավաք բեռնարկղը` կոնտեյները, պետք է տեղադրվի տնտեսական հրապարակի վրա, ջրանթափանց, բարեկարգ մակերեսով տարածքում՝ հաստատությունների շենքից ոչ պակաս, քան 15մ հեռավորության վրա, համաձայն ՀՀ առողջապահության նախարարի 2024 թվականի փետրվարի 12-ի N 50-Ն հրամանով հաստատված «Նախադպրոցական ուսումնական հաստատություններին ներկայացվող պահանջներ» 2.1.2.001-24 սանիտարական կանոնների և հիգիենիկ նորմատիվների։</w:t>
      </w:r>
    </w:p>
    <w:p>
      <w:pPr>
        <w:jc w:val="both"/>
      </w:pPr>
      <w:r>
        <w:rPr/>
        <w:t xml:space="preserve">136.4. Սակավակազմ նախադպրոցական ուսումնական հաստատությունների մասնագիտացված, ուղեկցող և ծառայողական-կենցաղային սենքերի, նախադպրոցական դաստիարակության խմբային սենքերի կազմում ներառվում են խմբային պարապմունքների, ուսուցչական անձնակազմի համար նախատեսված սենքերը, երաժշտական պարապմունքների և մարմնամարզության դահլիճը, բժշկական օգնության սենքերը, խոհանոցային և սննդի բլոկները:</w:t>
      </w:r>
    </w:p>
    <w:p>
      <w:pPr>
        <w:jc w:val="both"/>
      </w:pPr>
      <w:r>
        <w:rPr/>
        <w:t xml:space="preserve">136.5. Սակավակազմ նախադպրոցական ուսումնական հաստատությունների բոլոր հիմնական սենքերը պետք է տեղակայել վերգետնյա հարկերում: Թույլատրվում է լվացքատան, բանջարեղենի մառանի, այգու գույքի պահեստի, լրացուցիչ սենքերի տեղաբաշխումը նկուղային և գետնախարսխային հարկերում:</w:t>
      </w:r>
    </w:p>
    <w:p>
      <w:pPr>
        <w:jc w:val="both"/>
      </w:pPr>
      <w:r>
        <w:rPr/>
        <w:t xml:space="preserve">136.6. Խոհանոցային և սննդի բլոկների կազմակերպման համար պայմանների բացակայության դեպքում, կառուցապատման սահմանափակ պայմաններում, գյուղական բնակավայրերում հարմարեցված շենքերում տեղակայված սակավակազմ նախադպրոցական ուսումնական հաստատություններում կարող է նախատեսվել սենքերի կրճատ հավաքակազմ՝ պահեստային սենքեր, խոհանոց՝ հումքի նախապատրաստման, սննդի պատրաստման, պատրաստի արտադրանքի բաշխման, ճաշարանային և խոհանոցային սպասքի լվացման համար գոտիներով` սահմանված կարգով մշակված նախագծային լուծումներին համապատասխան։</w:t>
      </w:r>
    </w:p>
    <w:p>
      <w:pPr>
        <w:jc w:val="both"/>
      </w:pPr>
      <w:r>
        <w:rPr/>
        <w:t xml:space="preserve">136.7. Սակավակազմ նախադպրոցական ուսումնական հաստատությունների շենքերի բոլոր հարկաբաժիններում անհրաժեշտ է նախատեսել առանձին սանհանգույցներ նախադպրոցական ուսումնական հաստատություն հաճախող 2-6 տարեկան երեխաների (աղջիկների և տղաների) համար։ Վարչական և սպասարկող անձնակազմի համար նախադպրոցական ուսումնական հաստատությունների շենքերում պետք է նախատեսել առանձնացված առնվազն մեկ սանհանգույց։</w:t>
      </w:r>
    </w:p>
    <w:p>
      <w:pPr>
        <w:jc w:val="both"/>
      </w:pPr>
      <w:r>
        <w:rPr/>
        <w:t xml:space="preserve">136.8. Սանհանգույցները պետք է բաղկացած լինեն լվացարանի և զուգարանի գոտիներից: Երեխաների համար նախատեսված սանհանգույցներում լվացարանի տարածքում պետք է լինեն մանկական լվացարաններ։</w:t>
      </w:r>
    </w:p>
    <w:p>
      <w:pPr>
        <w:jc w:val="both"/>
      </w:pPr>
      <w:r>
        <w:rPr/>
        <w:t xml:space="preserve">136.9. Բնակելի շենքին ներկառուցված (ներկառուցված-կցակառուցված) կամ կցակառուցված սակավակազմ նախադպրոցական ուսումնական հաստատություների սենքերը պետք է ունենան առանձին ինքնուրույն տարհանման ելքեր: Բնակելի շենքի երկայնական ճակատի կողմից ներկառուցված-կցակառուցված սակավակազմ նախադպրոցական ուսումնական հաստատության ստիլոբատեսի (սյունաշարի ստորին մասի) լայնությունը չպետք է խոչընդոտի ավտոսանդուղքներով և ծնկավոր վերելակներով հրշեջների մոտեցմանը դեպի շենքի ցանկացած սենք:</w:t>
      </w:r>
    </w:p>
    <w:p>
      <w:pPr>
        <w:jc w:val="both"/>
      </w:pPr>
      <w:r>
        <w:rPr/>
        <w:t xml:space="preserve">136.10. Բնակելի շենքի հրակայունության աստիճանը, որին կցակառուցվում է սակավակազմ նախադպրոցական ուսումնական հաստատությունը, չպետք է ցածր լինի կցակառուցվող սակավակազմ նախադպրոցական ուսումնական հաստատության շենքի հրակայունության աստիճանից:</w:t>
      </w:r>
    </w:p>
    <w:p>
      <w:pPr>
        <w:jc w:val="both"/>
      </w:pPr>
      <w:r>
        <w:rPr/>
        <w:t xml:space="preserve">136.11. Սակավակազմ նախադպրոցական ուսումնական հաստատությունների լրացուցիչ սենքերի օրինակելի կազմն ու նվազագույն մակերեսն անհրաժեշտ է ընդունել 4.1-ին աղյուսակի համաձայն:</w:t>
      </w:r>
    </w:p>
    <w:p>
      <w:pPr/>
      <w:r>
        <w:rPr/>
        <w:t xml:space="preserve"> </w:t>
      </w:r>
    </w:p>
    <w:p>
      <w:pPr/>
      <w:r>
        <w:rPr/>
        <w:t xml:space="preserve">Աղյուսակ 4.1</w:t>
      </w:r>
    </w:p>
    <w:tbl>
      <w:tblGrid>
        <w:gridCol w:w="675" w:type="dxa"/>
        <w:gridCol w:w="3825" w:type="dxa"/>
        <w:gridCol w:w="5940" w:type="dxa"/>
      </w:tblGrid>
      <w:tblPr>
        <w:tblW w:w="10440" w:type="dxa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Սենքի անվանումը</w:t>
            </w:r>
          </w:p>
        </w:tc>
        <w:tc>
          <w:tcPr>
            <w:tcW w:w="5940" w:type="dxa"/>
            <w:noWrap/>
          </w:tcPr>
          <w:p>
            <w:pPr/>
            <w:r>
              <w:rPr>
                <w:b w:val="1"/>
                <w:bCs w:val="1"/>
              </w:rPr>
              <w:t xml:space="preserve">Մակերեսը, մ</w:t>
            </w:r>
            <w:r>
              <w:rPr>
                <w:b w:val="1"/>
                <w:bCs w:val="1"/>
                <w:vertAlign w:val="superscript"/>
              </w:rPr>
              <w:t xml:space="preserve">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1</w:t>
            </w:r>
            <w:r>
              <w:rPr>
                <w:b w:val="1"/>
                <w:bCs w:val="1"/>
              </w:rPr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Երաժշտական պարապմունքների և մարմնամարզության դահլիճ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ֆիզկուլտուրայի դահլիճ՝ աղջիկների և տղաների համար սանհանգույցներով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երաժշտական դահլիճ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Խոհանոցային և սննդի բլոկներ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տաք սննդի պատրաստման հատված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սառը սննդի պատրաստման հատված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նախապատրաստական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խոհանոցային սպասքի լվացարան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չոր մթերքի մառան 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հանդերձարան, ցնցուղ, անձնակազմի սանհանգույցներ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Բժշկական բլոկ  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բժշկական կաբինետ  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պրոցեդուրային սենյակ 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սանիտարական հանգույց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Լվացքատուն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օգտագործված սպիտակեղենի տեսակավորման սենք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լվացքարան և արդուկարան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5.</w:t>
            </w:r>
          </w:p>
        </w:tc>
        <w:tc>
          <w:tcPr>
            <w:tcW w:w="3825" w:type="dxa"/>
            <w:noWrap/>
          </w:tcPr>
          <w:p>
            <w:pPr/>
            <w:r>
              <w:rPr>
                <w:b w:val="1"/>
                <w:bCs w:val="1"/>
              </w:rPr>
              <w:t xml:space="preserve">Ծառայողական-կենցաղային սենքեր  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մեթոդական կաբինետ 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վարչական աշխատասենյակներ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անձնակազմի կենցաղային սենքեր, սանհանգույց ցնցուղով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մաքուր սպիտակեղենի պահման հատված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տնտեսական մառաններ և արհեստանոցներ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Նախագծվում է ըստ նախագծային առաջադրանքի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անձնակազմի սանհանգույցներ 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մաքրման գույքի խորդանոց</w:t>
            </w:r>
          </w:p>
        </w:tc>
        <w:tc>
          <w:tcPr>
            <w:tcW w:w="5940" w:type="dxa"/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9765" w:type="dxa"/>
            <w:gridSpan w:val="2"/>
            <w:noWrap/>
          </w:tcPr>
          <w:p>
            <w:pPr/>
            <w:r>
              <w:rPr/>
              <w:t xml:space="preserve">Սակավակազմ նախադպրոցական ուսումնական հաստատություններից դուրս կենտրոնացված սպիտակեղենի լվացման դեպքում թույլատրվում է չնախատեսել լվացքարան և արդուկարան: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9765" w:type="dxa"/>
            <w:gridSpan w:val="2"/>
            <w:noWrap/>
          </w:tcPr>
          <w:p>
            <w:pPr/>
            <w:r>
              <w:rPr/>
              <w:t xml:space="preserve">Սակավակազմ նախադպրոցական ուսումնական հաստատություններից դուրս երեխանների բժշկական օգնության կազմակերպման դեպքում թույլատրվում է չնախատեսել բժշկական բլոկ։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9765" w:type="dxa"/>
            <w:gridSpan w:val="2"/>
            <w:noWrap/>
          </w:tcPr>
          <w:p>
            <w:pPr/>
            <w:r>
              <w:rPr/>
              <w:t xml:space="preserve">Երեխաների սանհանգույցները և մաքրման խորդանոցները տեղադրվում են յուրաքանչյուր հարկում: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9765" w:type="dxa"/>
            <w:gridSpan w:val="2"/>
            <w:noWrap/>
          </w:tcPr>
          <w:p>
            <w:pPr/>
            <w:r>
              <w:rPr/>
              <w:t xml:space="preserve">Ֆիզկուլտուրայի և երաժշտական պարապմունքները կարող են իրականացվել համապատասխան խմբասենյակներում (ոչ պակաս, քան 50 քմ) եթե առկա են թվակազմին համապատասխան հնարավորություններ: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136.12. Սակավակազմ նախադպրոցական ուսումնական հաստատությունների խմբային բջիջներում նախատեսվող հինական սենքերի մակերեսները ներկայացված են 4.2-րդ  աղյուսակում:</w:t>
      </w:r>
    </w:p>
    <w:p>
      <w:pPr/>
      <w:r>
        <w:rPr/>
        <w:t xml:space="preserve">Աղյուսակ 4.2</w:t>
      </w:r>
    </w:p>
    <w:tbl>
      <w:tblGrid>
        <w:gridCol w:w="660" w:type="dxa"/>
        <w:gridCol w:w="6120" w:type="dxa"/>
        <w:gridCol w:w="3660" w:type="dxa"/>
      </w:tblGrid>
      <w:tblPr>
        <w:tblW w:w="10440" w:type="dxa"/>
        <w:tblLayout w:type="autofit"/>
      </w:tblPr>
      <w:tr>
        <w:trPr/>
        <w:tc>
          <w:tcPr>
            <w:tcW w:w="66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Սակավակազմ նախադպրոցական ուսումնական հաստատությունների խմբային բջիջների հիմնական սենքերի անվանումը</w:t>
            </w:r>
          </w:p>
        </w:tc>
        <w:tc>
          <w:tcPr>
            <w:tcW w:w="3660" w:type="dxa"/>
            <w:noWrap/>
          </w:tcPr>
          <w:p>
            <w:pPr/>
            <w:r>
              <w:rPr>
                <w:b w:val="1"/>
                <w:bCs w:val="1"/>
              </w:rPr>
              <w:t xml:space="preserve">Մակերեսը, մ</w:t>
            </w:r>
            <w:r>
              <w:rPr>
                <w:b w:val="1"/>
                <w:bCs w:val="1"/>
                <w:vertAlign w:val="superscript"/>
              </w:rPr>
              <w:t xml:space="preserve">2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Խմբային (ննջարանային գոտիով)</w:t>
            </w:r>
          </w:p>
        </w:tc>
        <w:tc>
          <w:tcPr>
            <w:tcW w:w="366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1)</w:t>
            </w:r>
          </w:p>
        </w:tc>
        <w:tc>
          <w:tcPr>
            <w:tcW w:w="6120" w:type="dxa"/>
            <w:noWrap/>
          </w:tcPr>
          <w:p>
            <w:pPr/>
            <w:r>
              <w:rPr/>
              <w:t xml:space="preserve">Խմբային (ննջարանային գոտիով) շարժական կամ փոխակերպվող մահճակալների օգտագործման դեպքում մահճակալների օգտագործման դեպքում՝ 1 երեխայի հաշվարկով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Մսուրային տարիք` 2-3</w:t>
            </w:r>
          </w:p>
          <w:p>
            <w:pPr/>
            <w:r>
              <w:rPr/>
              <w:t xml:space="preserve">2,5 (1)</w:t>
            </w:r>
          </w:p>
          <w:p>
            <w:pPr/>
            <w:r>
              <w:rPr/>
              <w:t xml:space="preserve">Նախադպրոցական տարիք` 3-6</w:t>
            </w:r>
          </w:p>
          <w:p>
            <w:pPr/>
            <w:r>
              <w:rPr/>
              <w:t xml:space="preserve">2 (1)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6120" w:type="dxa"/>
            <w:noWrap/>
          </w:tcPr>
          <w:p>
            <w:pPr/>
            <w:r>
              <w:rPr/>
              <w:t xml:space="preserve">Խմբային (ննջարանային գոտիով) ոչ շարժական մահճակալների օգտագործման դեպքում՝ 1 երեխայի հաշվարկով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Մսուրային տարիք` 2-3</w:t>
            </w:r>
          </w:p>
          <w:p>
            <w:pPr/>
            <w:r>
              <w:rPr/>
              <w:t xml:space="preserve">2,5 (1,5)</w:t>
            </w:r>
          </w:p>
          <w:p>
            <w:pPr/>
            <w:r>
              <w:rPr/>
              <w:t xml:space="preserve">Նախադպրոցական տարիք` 3-6</w:t>
            </w:r>
          </w:p>
          <w:p>
            <w:pPr/>
            <w:r>
              <w:rPr/>
              <w:t xml:space="preserve">2 (1,5)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2.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Ննջասենյակ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6120" w:type="dxa"/>
            <w:noWrap/>
          </w:tcPr>
          <w:p>
            <w:pPr/>
            <w:r>
              <w:rPr/>
              <w:t xml:space="preserve">մսուրային խմբերի համար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հաշվարկով (1,8 մ</w:t>
            </w:r>
            <w:r>
              <w:rPr>
                <w:vertAlign w:val="superscript"/>
              </w:rPr>
              <w:t xml:space="preserve">2 </w:t>
            </w:r>
            <w:r>
              <w:rPr/>
              <w:t xml:space="preserve">մեկ երեխայի համար)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6120" w:type="dxa"/>
            <w:noWrap/>
          </w:tcPr>
          <w:p>
            <w:pPr/>
            <w:r>
              <w:rPr/>
              <w:t xml:space="preserve">նախադպրոցական խմբերի համար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հաշվարկով (2 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 մեկ երեխայի համար)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3.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Հանդերձարան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հաշվարկով (0,7 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 մեկ երեխայի համար)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4.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Բուֆետ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3,8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5.</w:t>
            </w:r>
          </w:p>
        </w:tc>
        <w:tc>
          <w:tcPr>
            <w:tcW w:w="6120" w:type="dxa"/>
            <w:noWrap/>
          </w:tcPr>
          <w:p>
            <w:pPr/>
            <w:r>
              <w:rPr>
                <w:b w:val="1"/>
                <w:bCs w:val="1"/>
              </w:rPr>
              <w:t xml:space="preserve">Սանհանգույց</w:t>
            </w:r>
          </w:p>
        </w:tc>
        <w:tc>
          <w:tcPr>
            <w:tcW w:w="3660" w:type="dxa"/>
            <w:noWrap/>
          </w:tcPr>
          <w:p>
            <w:pPr/>
            <w:r>
              <w:rPr/>
              <w:t xml:space="preserve">ոչ պակաս, քան 12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6.</w:t>
            </w:r>
          </w:p>
        </w:tc>
        <w:tc>
          <w:tcPr>
            <w:tcW w:w="9780" w:type="dxa"/>
            <w:gridSpan w:val="2"/>
            <w:noWrap/>
          </w:tcPr>
          <w:p>
            <w:pPr/>
            <w:r>
              <w:rPr/>
              <w:t xml:space="preserve">Խմբային բաժանմունքներում, եթե հանդերձարանը (ընդհանուր հանդերձարանը) նախատեսվում է միաժամանակ որպես սպասասրահ (սպասասրահ-նախասրահ)։</w:t>
            </w:r>
          </w:p>
        </w:tc>
      </w:tr>
      <w:tr>
        <w:trPr/>
        <w:tc>
          <w:tcPr>
            <w:tcW w:w="660" w:type="dxa"/>
            <w:noWrap/>
          </w:tcPr>
          <w:p>
            <w:pPr/>
            <w:r>
              <w:rPr>
                <w:b w:val="1"/>
                <w:bCs w:val="1"/>
              </w:rPr>
              <w:t xml:space="preserve">7.</w:t>
            </w:r>
          </w:p>
        </w:tc>
        <w:tc>
          <w:tcPr>
            <w:tcW w:w="9780" w:type="dxa"/>
            <w:gridSpan w:val="2"/>
            <w:noWrap/>
          </w:tcPr>
          <w:p>
            <w:pPr/>
            <w:r>
              <w:rPr/>
              <w:t xml:space="preserve">Առանձին ննջասենյակներ նախատեսվում են նախագծային առաջադրանքով։</w:t>
            </w:r>
          </w:p>
        </w:tc>
      </w:tr>
    </w:tbl>
    <w:p>
      <w:pPr/>
      <w:r>
        <w:rPr/>
        <w:t xml:space="preserve">»:</w:t>
      </w:r>
    </w:p>
    <w:p>
      <w:pPr/>
      <w:r>
        <w:rPr/>
        <w:t xml:space="preserve">3. Սույն հրամանն ուժի մեջ է մտնում պաշտոնական հրապարակմանը հաջորդող օրվանից:                                                                                                                     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91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2026-03-31T15:56:31+04:00</dcterms:created>
  <dcterms:modified xsi:type="dcterms:W3CDTF">2026-03-31T15:56:31+04:00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