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ԴԵԿՏԵՄԲԵՐԻ 29-Ի N 1566-Ն ՈՐՈՇՄԱՆ ՄԵՋ ՓՈՓՈԽՈՒԹՅՈՒՆ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25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ԴԵԿՏԵՄԲԵՐԻ 29-Ի N 1566-Ն ՈՐՈՇՄԱՆ ՄԵՋ ՓՈՓՈԽՈՒԹՅՈՒՆ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 N 1 Հավելվածի 1-ին կետը շարադրել հետևյալ խմբագրությամբ.</w:t>
      </w:r>
    </w:p>
    <w:p>
      <w:pPr/>
      <w:r>
        <w:rPr/>
        <w:t xml:space="preserve">«1. Սույն կարգով կարգավորվում են «Պետական նպաստների մասին» օրենքի (այսուհետ՝ օրենք) 7.1-ին գլխով սահմանված կարգով մինչև երկու տարեկան երեխայի խնամքի նպաստը (այսուհետ՝ խնամքի նպաստ) նշանակելու և վճարելու հետ կապված հարաբերությունները:»։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2025 թվականի հունվարի 1-ին և դրանից հետո ծագած իրավահարաբերությունների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A2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F6C5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2026-03-31T11:23:08+04:00</dcterms:created>
  <dcterms:modified xsi:type="dcterms:W3CDTF">2026-03-31T11:23:08+04:00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