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ֆինանսների և էկոնոմիկայի նախարարի 2007 թվականի  հունվարի 9–ի N 5-Ն հրամանում  լրացում կատարելու  մասին» ՀՀ ֆինանսների նախարարի հրամանի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 Նախագիծ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ՖԻՆԱՆՍՆԵՐԻ ԵՎ ԷԿՈՆՈՄԻԿԱՅԻ ՆԱԽԱՐԱՐԻ 2007 ԹՎԱԿԱՆԻ ՀՈՒՆՎԱՐԻ 9-Ի N 5-Ն ՀՐԱՄԱՆՈՒՄ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«Իրավական ակտերի մասին» Հայաստանի Հանրապետության օրենքի 70-րդ հոդվածի 1-ին մասը, Հայաստանի Հանրապետության Նախագահի 2017 թվականի դեկտեմբերի 19-ի ՆՀ-922-Ա հրամանագիրը և Հայաստանի Հանրապետության կառավարության 2008 թվականի մայիսի 15-ի N 503-Ն որոշման N 1 հավելվածի 11-րդ կետի 1-ին ենթակետը`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եմ՝</w:t>
      </w:r>
    </w:p>
    <w:p>
      <w:pPr/>
      <w:r>
        <w:rPr/>
        <w:t xml:space="preserve"> </w:t>
      </w:r>
    </w:p>
    <w:p>
      <w:pPr/>
      <w:r>
        <w:rPr/>
        <w:t xml:space="preserve">1. Հայաստանի Հանրապետության ֆինանսների և էկոնոմիկայի նախարարի 2007 թվականի հունվարի 9-ի «Հայաստանի Հանրապետության բյուջետային ու հանրային հատվածի հաշվապահական հաշվառման դասակարգումները և դրանց կիրառման ցուցումները հաստատելու մասին» N 5-Ն հրամանի N 23 հավելվածում «Բարձրաստիճան պաշտոնատար անձանց էթիկայի հանձնաժողով 1 05 049» տողից հետո լրացնել նոր տող` հետևյալ բովանդակությամբ.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750" w:type="dxa"/>
            <w:vAlign w:val="top"/>
            <w:noWrap/>
          </w:tcPr>
          <w:p>
            <w:pPr>
              <w:jc w:val="end"/>
            </w:pPr>
            <w:r>
              <w:rPr/>
              <w:t xml:space="preserve">«</w:t>
            </w:r>
          </w:p>
        </w:tc>
        <w:tc>
          <w:tcPr>
            <w:tcW w:w="9750" w:type="dxa"/>
            <w:noWrap/>
          </w:tcPr>
          <w:tbl>
            <w:tblGrid>
              <w:gridCol w:w="9750" w:type="dxa"/>
              <w:gridCol w:w="9750" w:type="dxa"/>
              <w:gridCol w:w="9750" w:type="dxa"/>
              <w:gridCol w:w="9750" w:type="dxa"/>
            </w:tblGrid>
            <w:tblPr>
              <w:jc w:val="center"/>
              <w:tblW w:w="9750" w:type="dxa"/>
              <w:tblCellSpacing w:w="0" w:type="dxa"/>
              <w:tblLayout w:type="autofit"/>
              <w:tblBorders>
                <w:top w:val="single" w:sz="15"/>
                <w:left w:val="single" w:sz="15"/>
                <w:right w:val="single" w:sz="15"/>
                <w:bottom w:val="single" w:sz="15"/>
                <w:insideH w:val="single" w:sz="15"/>
                <w:insideV w:val="single" w:sz="15"/>
              </w:tblBorders>
            </w:tblPr>
            <w:tr>
              <w:trPr/>
              <w:tc>
                <w:tcPr>
                  <w:tcW w:w="9750" w:type="dxa"/>
                  <w:vAlign w:val="top"/>
                  <w:noWrap/>
                </w:tcPr>
                <w:p>
                  <w:pPr>
                    <w:jc w:val="center"/>
                  </w:pPr>
                  <w:r>
                    <w:rPr/>
                    <w:t xml:space="preserve">ՀՀ բնապահպանության նախարարության անտառային պետական կոմիտե</w:t>
                  </w:r>
                </w:p>
              </w:tc>
              <w:tc>
                <w:tcPr>
                  <w:tcW w:w="9750" w:type="dxa"/>
                  <w:vAlign w:val="top"/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tcW w:w="9750" w:type="dxa"/>
                  <w:vAlign w:val="top"/>
                  <w:noWrap/>
                </w:tcPr>
                <w:p>
                  <w:pPr>
                    <w:jc w:val="center"/>
                  </w:pPr>
                  <w:r>
                    <w:rPr/>
                    <w:t xml:space="preserve">05</w:t>
                  </w:r>
                </w:p>
              </w:tc>
              <w:tc>
                <w:tcPr>
                  <w:tcW w:w="9750" w:type="dxa"/>
                  <w:vAlign w:val="top"/>
                  <w:noWrap/>
                </w:tcPr>
                <w:p>
                  <w:pPr>
                    <w:jc w:val="center"/>
                  </w:pPr>
                  <w:r>
                    <w:rPr/>
                    <w:t xml:space="preserve">050</w:t>
                  </w:r>
                </w:p>
              </w:tc>
            </w:tr>
          </w:tbl>
          <w:p/>
        </w:tc>
        <w:tc>
          <w:tcPr>
            <w:tcW w:w="9750" w:type="dxa"/>
            <w:vAlign w:val="bottom"/>
            <w:noWrap/>
          </w:tcPr>
          <w:p>
            <w:pPr>
              <w:jc w:val="start"/>
            </w:pPr>
            <w:r>
              <w:rPr/>
              <w:t xml:space="preserve">»: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2. Սույն հրամանն ուժի մեջ է մտնում պաշտոնական հրապարակման օրվան հաջորդող տասներորդ օրը: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2026-04-03T05:55:10+04:00</dcterms:created>
  <dcterms:modified xsi:type="dcterms:W3CDTF">2026-04-03T05:55:10+04:00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