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դրոշմավորման փորձնական ծրագրի շրջանակում դրոշմավորման ենթակա ապրանքների ցանկը և ցանկում ներառված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ԴՐՈՇՄԱՎՈՐՄԱՆ ՓՈՐՁՆԱԿԱՆ ԾՐԱԳՐԻ ՇՐՋԱՆԱԿՈՒՄ ԴՐՈՇՄԱՎՈՐՄԱՆ ԵՆԹԱԿԱ ԱՊՐԱՆՔՆԵՐԻ ՑԱՆԿԸ ԵՎ ՑԱՆԿՈՒՄ ՆԵՐԱՌՎԱԾ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w:t>
      </w:r>
      <w:br/>
      <w:r>
        <w:rPr/>
        <w:t xml:space="preserve">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դրոշմավորման փորձնական ծրագրի շրջանակում դրոշմավորման ենթակա ապրանքների ցանկը՝ համաձայն N 1 հավելվածի։</w:t>
      </w:r>
    </w:p>
    <w:p>
      <w:pPr>
        <w:numPr>
          <w:ilvl w:val="0"/>
          <w:numId w:val="2"/>
        </w:numPr>
      </w:pPr>
      <w:r>
        <w:rPr/>
        <w:t xml:space="preserve">Հաստատել Հայաստանի Հանրապետությունում սույն որոշման N 1 հավելվածով հաստատված ցանկում ներառված ապրանքների դրոշմավորման փորձնական ծրագիրը (այսուհետ ծրագիր)՝ համաձայն N 2 հավելվածի։</w:t>
      </w:r>
    </w:p>
    <w:p>
      <w:pPr/>
      <w:r>
        <w:rPr/>
        <w:t xml:space="preserve">3․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սույն որոշումն ուժի մեջ մտնելու օրվանից մինչև այդ օրը ներառող ամսվան հաջորդող երրորդ ամսվա 1-ը՝ սույն որոշման N 1 հավելվածով հաստատված ցանկում ներառված ապրանքների համար:</w:t>
      </w:r>
    </w:p>
    <w:p>
      <w:pPr/>
      <w:r>
        <w:rPr/>
        <w:t xml:space="preserve">3) Հայաստանի Հանրապետության պետական եկամուտների կոմիտեն սույն կետի 2-րդ ենթակետով սահմանված ժամկետի ավարտի օրվան հաջորդող տասօրյա ժամկետում Հայաստանի Հանրապետության վարչապետի աշխատակազմ է ներկայացնում ծրագրի գնահատման արդյունքները։</w:t>
      </w:r>
    </w:p>
    <w:p>
      <w:pPr>
        <w:jc w:val="end"/>
      </w:pPr>
      <w:r>
        <w:rPr>
          <w:b w:val="1"/>
          <w:bCs w:val="1"/>
        </w:rPr>
        <w:t xml:space="preserve">Հավելված N 1</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r>
        <w:rPr>
          <w:b w:val="1"/>
          <w:bCs w:val="1"/>
        </w:rPr>
        <w:t xml:space="preserve"> </w:t>
      </w:r>
    </w:p>
    <w:p>
      <w:pPr>
        <w:jc w:val="center"/>
      </w:pPr>
      <w:r>
        <w:rPr>
          <w:b w:val="1"/>
          <w:bCs w:val="1"/>
        </w:rPr>
        <w:t xml:space="preserve">ՑԱՆԿ</w:t>
      </w:r>
    </w:p>
    <w:p>
      <w:pPr>
        <w:jc w:val="center"/>
      </w:pPr>
      <w:r>
        <w:rPr>
          <w:b w:val="1"/>
          <w:bCs w:val="1"/>
        </w:rPr>
        <w:t xml:space="preserve">ՀԱՅԱՍՏԱՆԻ ՀԱՆՐԱՊԵՏՈՒԹՅՈՒՆՈՒՄ ԴՐՈՇՄԱՎՈՐՄԱՆ ՓՈՐՁՆԱԿԱՆ ԾՐԱԳՐԻ ՇՐՋԱՆԱԿՈՒՄ ԴՐՈՇՄԱՎՈՐՄԱՆ ԵՆԹԱԿԱ ԱՊՐԱՆՔՆԵՐԻ </w:t>
      </w:r>
    </w:p>
    <w:p>
      <w:pPr/>
      <w:r>
        <w:rPr>
          <w:b w:val="1"/>
          <w:bCs w:val="1"/>
        </w:rPr>
        <w:t xml:space="preserve"> </w:t>
      </w:r>
    </w:p>
    <w:p>
      <w:pPr/>
      <w:r>
        <w:rPr/>
        <w:t xml:space="preserve">1․  Սույն որոշմամբ հաստատվող փորձնական ծրագրի շրջանակում ներառված ապրանքներն են՝</w:t>
      </w:r>
    </w:p>
    <w:p>
      <w:pPr/>
      <w:r>
        <w:rPr/>
        <w:t xml:space="preserve"> </w:t>
      </w:r>
    </w:p>
    <w:tbl>
      <w:tblGrid>
        <w:gridCol w:w="1935" w:type="dxa"/>
        <w:gridCol w:w="6015" w:type="dxa"/>
        <w:gridCol w:w="2820" w:type="dxa"/>
      </w:tblGrid>
      <w:tblPr>
        <w:tblW w:w="0" w:type="dxa"/>
        <w:tblLayout w:type="autofit"/>
      </w:tblPr>
      <w:tr>
        <w:trPr/>
        <w:tc>
          <w:tcPr>
            <w:tcW w:w="1935" w:type="dxa"/>
            <w:noWrap/>
          </w:tcPr>
          <w:p>
            <w:pPr/>
            <w:r>
              <w:rPr>
                <w:b w:val="1"/>
                <w:bCs w:val="1"/>
              </w:rPr>
              <w:t xml:space="preserve">Ծածկագիրն</w:t>
            </w:r>
          </w:p>
          <w:p>
            <w:pPr/>
            <w:r>
              <w:rPr>
                <w:b w:val="1"/>
                <w:bCs w:val="1"/>
              </w:rPr>
              <w:t xml:space="preserve">ըստ ԱՏԳ ԱԱ</w:t>
            </w:r>
          </w:p>
        </w:tc>
        <w:tc>
          <w:tcPr>
            <w:tcW w:w="6015" w:type="dxa"/>
            <w:noWrap/>
          </w:tcPr>
          <w:p>
            <w:pPr/>
            <w:r>
              <w:rPr>
                <w:b w:val="1"/>
                <w:bCs w:val="1"/>
              </w:rPr>
              <w:t xml:space="preserve">Ապրանքախմբի</w:t>
            </w:r>
            <w:r>
              <w:rPr>
                <w:b w:val="1"/>
                <w:bCs w:val="1"/>
              </w:rPr>
              <w:t xml:space="preserve"> </w:t>
            </w:r>
            <w:r>
              <w:rPr>
                <w:b w:val="1"/>
                <w:bCs w:val="1"/>
              </w:rPr>
              <w:t xml:space="preserve">անվանումը</w:t>
            </w:r>
          </w:p>
        </w:tc>
        <w:tc>
          <w:tcPr>
            <w:tcW w:w="2820" w:type="dxa"/>
            <w:noWrap/>
          </w:tcPr>
          <w:p>
            <w:pPr/>
            <w:r>
              <w:rPr>
                <w:b w:val="1"/>
                <w:bCs w:val="1"/>
              </w:rPr>
              <w:t xml:space="preserve">Ապրանքախմբի</w:t>
            </w:r>
            <w:r>
              <w:rPr>
                <w:b w:val="1"/>
                <w:bCs w:val="1"/>
              </w:rPr>
              <w:t xml:space="preserve"> </w:t>
            </w:r>
            <w:br/>
            <w:r>
              <w:rPr>
                <w:b w:val="1"/>
                <w:bCs w:val="1"/>
              </w:rPr>
              <w:t xml:space="preserve"> </w:t>
            </w:r>
            <w:r>
              <w:rPr>
                <w:b w:val="1"/>
                <w:bCs w:val="1"/>
              </w:rPr>
              <w:t xml:space="preserve">համառոտ անվանումը</w:t>
            </w:r>
          </w:p>
        </w:tc>
      </w:tr>
      <w:tr>
        <w:trPr/>
        <w:tc>
          <w:tcPr>
            <w:tcW w:w="1935" w:type="dxa"/>
            <w:noWrap/>
          </w:tcPr>
          <w:p>
            <w:pPr/>
            <w:r>
              <w:rPr/>
              <w:t xml:space="preserve">0207</w:t>
            </w:r>
          </w:p>
        </w:tc>
        <w:tc>
          <w:tcPr>
            <w:tcW w:w="6015" w:type="dxa"/>
            <w:noWrap/>
          </w:tcPr>
          <w:p>
            <w:pPr/>
            <w:r>
              <w:rPr/>
              <w:t xml:space="preserve">ընտանի թռչունների միս և սննդային ենթամթերք՝ 0105 ապրանքային դիրքում դասակարգված, թարմ, պաղեցրած կամ սառեցրած</w:t>
            </w:r>
          </w:p>
        </w:tc>
        <w:tc>
          <w:tcPr>
            <w:tcW w:w="2820" w:type="dxa"/>
            <w:noWrap/>
          </w:tcPr>
          <w:p>
            <w:pPr/>
            <w:r>
              <w:rPr/>
              <w:t xml:space="preserve">միս</w:t>
            </w:r>
          </w:p>
        </w:tc>
      </w:tr>
      <w:tr>
        <w:trPr/>
        <w:tc>
          <w:tcPr>
            <w:tcW w:w="1935" w:type="dxa"/>
            <w:noWrap/>
          </w:tcPr>
          <w:p>
            <w:pPr/>
            <w:r>
              <w:rPr/>
              <w:t xml:space="preserve">0209</w:t>
            </w:r>
          </w:p>
        </w:tc>
        <w:tc>
          <w:tcPr>
            <w:tcW w:w="6015" w:type="dxa"/>
            <w:noWrap/>
          </w:tcPr>
          <w:p>
            <w:pPr/>
            <w:r>
              <w:rPr/>
              <w:t xml:space="preserve">անյուղ մսից առանձնացված խոզի ճարպ և չհալեցրած կամ այլ եղանակով չստացած ընտանի թռչունների ճարպ՝ թարմ, պաղեցրած, սառեցրած, աղ դրված, աղաջրի մեջ դրված, չորացրած կամ ապխտած</w:t>
            </w:r>
          </w:p>
        </w:tc>
        <w:tc>
          <w:tcPr>
            <w:tcW w:w="2820" w:type="dxa"/>
            <w:noWrap/>
          </w:tcPr>
          <w:p>
            <w:pPr/>
            <w:r>
              <w:rPr/>
              <w:t xml:space="preserve">միս</w:t>
            </w:r>
          </w:p>
        </w:tc>
      </w:tr>
      <w:tr>
        <w:trPr/>
        <w:tc>
          <w:tcPr>
            <w:tcW w:w="1935" w:type="dxa"/>
            <w:noWrap/>
          </w:tcPr>
          <w:p>
            <w:pPr/>
            <w:r>
              <w:rPr/>
              <w:t xml:space="preserve">0210</w:t>
            </w:r>
          </w:p>
        </w:tc>
        <w:tc>
          <w:tcPr>
            <w:tcW w:w="6015" w:type="dxa"/>
            <w:noWrap/>
          </w:tcPr>
          <w:p>
            <w:pPr/>
            <w:r>
              <w:rPr/>
              <w:t xml:space="preserve">ընտանի թռչունների միս և մսից սննդային ենթամթերք՝ աղ դրված, աղաջրի մեջ դրված, չորացրած կամ ապխտած. մսից կամ մսի սննդային ենթամթերքից ստացված մանր և խոշոր աղացվածքի ալյուր</w:t>
            </w:r>
          </w:p>
        </w:tc>
        <w:tc>
          <w:tcPr>
            <w:tcW w:w="2820" w:type="dxa"/>
            <w:noWrap/>
          </w:tcPr>
          <w:p>
            <w:pPr/>
            <w:r>
              <w:rPr/>
              <w:t xml:space="preserve">միս</w:t>
            </w:r>
          </w:p>
        </w:tc>
      </w:tr>
      <w:tr>
        <w:trPr/>
        <w:tc>
          <w:tcPr>
            <w:tcW w:w="1935" w:type="dxa"/>
            <w:noWrap/>
          </w:tcPr>
          <w:p>
            <w:pPr/>
            <w:r>
              <w:rPr/>
              <w:t xml:space="preserve">0901</w:t>
            </w:r>
          </w:p>
        </w:tc>
        <w:tc>
          <w:tcPr>
            <w:tcW w:w="6015" w:type="dxa"/>
            <w:noWrap/>
          </w:tcPr>
          <w:p>
            <w:pPr/>
            <w:r>
              <w:rPr/>
              <w:t xml:space="preserve">սուրճ` բոված կամ չբոված, կոֆեինով կամ առանց կոֆեինի, սուրճի կեղև և սուրճի հատիկների թաղանթ (պատյան), սուրճի փոխարինիչներ` ցանկացած համամասնությամբ սուրճ պարունակող</w:t>
            </w:r>
          </w:p>
        </w:tc>
        <w:tc>
          <w:tcPr>
            <w:tcW w:w="2820" w:type="dxa"/>
            <w:noWrap/>
          </w:tcPr>
          <w:p>
            <w:pPr/>
            <w:r>
              <w:rPr/>
              <w:t xml:space="preserve">սուրճ</w:t>
            </w:r>
          </w:p>
        </w:tc>
      </w:tr>
      <w:tr>
        <w:trPr/>
        <w:tc>
          <w:tcPr>
            <w:tcW w:w="1935" w:type="dxa"/>
            <w:noWrap/>
          </w:tcPr>
          <w:p>
            <w:pPr/>
            <w:r>
              <w:rPr/>
              <w:t xml:space="preserve">0902</w:t>
            </w:r>
          </w:p>
        </w:tc>
        <w:tc>
          <w:tcPr>
            <w:tcW w:w="6015" w:type="dxa"/>
            <w:noWrap/>
          </w:tcPr>
          <w:p>
            <w:pPr/>
            <w:r>
              <w:rPr/>
              <w:t xml:space="preserve">թեյ` համաբուրային հավելումներով կամ առանց դրանց</w:t>
            </w:r>
          </w:p>
        </w:tc>
        <w:tc>
          <w:tcPr>
            <w:tcW w:w="2820" w:type="dxa"/>
            <w:noWrap/>
          </w:tcPr>
          <w:p>
            <w:pPr/>
            <w:r>
              <w:rPr/>
              <w:t xml:space="preserve">թեյ</w:t>
            </w:r>
          </w:p>
        </w:tc>
      </w:tr>
      <w:tr>
        <w:trPr/>
        <w:tc>
          <w:tcPr>
            <w:tcW w:w="1935" w:type="dxa"/>
            <w:noWrap/>
          </w:tcPr>
          <w:p>
            <w:pPr/>
            <w:r>
              <w:rPr/>
              <w:t xml:space="preserve">0903 00 000 0</w:t>
            </w:r>
          </w:p>
        </w:tc>
        <w:tc>
          <w:tcPr>
            <w:tcW w:w="6015" w:type="dxa"/>
            <w:noWrap/>
          </w:tcPr>
          <w:p>
            <w:pPr/>
            <w:r>
              <w:rPr/>
              <w:t xml:space="preserve">մատե կամ պարագվայական թեյ</w:t>
            </w:r>
          </w:p>
        </w:tc>
        <w:tc>
          <w:tcPr>
            <w:tcW w:w="2820" w:type="dxa"/>
            <w:noWrap/>
          </w:tcPr>
          <w:p>
            <w:pPr/>
            <w:r>
              <w:rPr/>
              <w:t xml:space="preserve">թեյ</w:t>
            </w:r>
          </w:p>
        </w:tc>
      </w:tr>
      <w:tr>
        <w:trPr/>
        <w:tc>
          <w:tcPr>
            <w:tcW w:w="1935" w:type="dxa"/>
            <w:noWrap/>
          </w:tcPr>
          <w:p>
            <w:pPr/>
            <w:r>
              <w:rPr/>
              <w:t xml:space="preserve">1601 00</w:t>
            </w:r>
          </w:p>
        </w:tc>
        <w:tc>
          <w:tcPr>
            <w:tcW w:w="6015" w:type="dxa"/>
            <w:noWrap/>
          </w:tcPr>
          <w:p>
            <w:pPr/>
            <w:r>
              <w:rPr/>
              <w:t xml:space="preserve">երշիկներ և մսից, մսային ենթամթերքից կամ արյունից պատրաստված համանման մթերք. դրանց հիմքով պատրաստված պատրաստի սննդամթերք</w:t>
            </w:r>
          </w:p>
        </w:tc>
        <w:tc>
          <w:tcPr>
            <w:tcW w:w="2820" w:type="dxa"/>
            <w:noWrap/>
          </w:tcPr>
          <w:p>
            <w:pPr/>
            <w:r>
              <w:rPr/>
              <w:t xml:space="preserve">պատրաստի սննդամթերք</w:t>
            </w:r>
          </w:p>
        </w:tc>
      </w:tr>
      <w:tr>
        <w:trPr/>
        <w:tc>
          <w:tcPr>
            <w:tcW w:w="1935" w:type="dxa"/>
            <w:noWrap/>
          </w:tcPr>
          <w:p>
            <w:pPr/>
            <w:r>
              <w:rPr/>
              <w:t xml:space="preserve">1603 00</w:t>
            </w:r>
          </w:p>
        </w:tc>
        <w:tc>
          <w:tcPr>
            <w:tcW w:w="6015" w:type="dxa"/>
            <w:noWrap/>
          </w:tcPr>
          <w:p>
            <w:pPr/>
            <w:r>
              <w:rPr/>
              <w:t xml:space="preserve">լուծամզվածքներ և հյութեր մսից, ձկից կամ խեցգետնանմաններից, կակղամարմիններից կամ ջրային այլ անողնաշարավորներից</w:t>
            </w:r>
          </w:p>
        </w:tc>
        <w:tc>
          <w:tcPr>
            <w:tcW w:w="2820" w:type="dxa"/>
            <w:noWrap/>
          </w:tcPr>
          <w:p>
            <w:pPr/>
            <w:r>
              <w:rPr/>
              <w:t xml:space="preserve">պատրաստի սննդամթերք</w:t>
            </w:r>
          </w:p>
        </w:tc>
      </w:tr>
      <w:tr>
        <w:trPr/>
        <w:tc>
          <w:tcPr>
            <w:tcW w:w="1935" w:type="dxa"/>
            <w:noWrap/>
          </w:tcPr>
          <w:p>
            <w:pPr/>
            <w:r>
              <w:rPr/>
              <w:t xml:space="preserve">1604310000</w:t>
            </w:r>
          </w:p>
        </w:tc>
        <w:tc>
          <w:tcPr>
            <w:tcW w:w="6015" w:type="dxa"/>
            <w:noWrap/>
          </w:tcPr>
          <w:p>
            <w:pPr/>
            <w:r>
              <w:rPr/>
              <w:t xml:space="preserve">պատրաստի կամ պահածոյացված ձուկ, թառափազգիների խավիար և դրա փոխարինիչներ` պատրաստված ձկնկիթի հատիկներից</w:t>
            </w:r>
          </w:p>
        </w:tc>
        <w:tc>
          <w:tcPr>
            <w:tcW w:w="2820" w:type="dxa"/>
            <w:noWrap/>
          </w:tcPr>
          <w:p>
            <w:pPr/>
            <w:r>
              <w:rPr/>
              <w:t xml:space="preserve">ձկնեղեն</w:t>
            </w:r>
          </w:p>
        </w:tc>
      </w:tr>
      <w:tr>
        <w:trPr/>
        <w:tc>
          <w:tcPr>
            <w:tcW w:w="1935" w:type="dxa"/>
            <w:noWrap/>
          </w:tcPr>
          <w:p>
            <w:pPr/>
            <w:r>
              <w:rPr/>
              <w:t xml:space="preserve">1604320010</w:t>
            </w:r>
          </w:p>
        </w:tc>
        <w:tc>
          <w:tcPr>
            <w:tcW w:w="6015" w:type="dxa"/>
            <w:noWrap/>
          </w:tcPr>
          <w:p>
            <w:pPr/>
            <w:r>
              <w:rPr/>
              <w:t xml:space="preserve">պատրաստի կամ պահածոյացված ձուկ, թառափազգիների խավիար և դրա փոխարինիչներ` պատրաստված ձկնկիթի հատիկներից</w:t>
            </w:r>
          </w:p>
        </w:tc>
        <w:tc>
          <w:tcPr>
            <w:tcW w:w="2820" w:type="dxa"/>
            <w:noWrap/>
          </w:tcPr>
          <w:p>
            <w:pPr/>
            <w:r>
              <w:rPr/>
              <w:t xml:space="preserve">ձկնեղեն</w:t>
            </w:r>
          </w:p>
        </w:tc>
      </w:tr>
      <w:tr>
        <w:trPr/>
        <w:tc>
          <w:tcPr>
            <w:tcW w:w="1935" w:type="dxa"/>
            <w:noWrap/>
          </w:tcPr>
          <w:p>
            <w:pPr/>
            <w:r>
              <w:rPr/>
              <w:t xml:space="preserve">2101</w:t>
            </w:r>
          </w:p>
        </w:tc>
        <w:tc>
          <w:tcPr>
            <w:tcW w:w="6015" w:type="dxa"/>
            <w:noWrap/>
          </w:tcPr>
          <w:p>
            <w:pPr/>
            <w:r>
              <w:rPr/>
              <w:t xml:space="preserve">սուրճի, թեյի կամ մատեի (պարագվայական թեյի) լուծամզուքներ, բնահյութեր և խտածոներ (կոնցենտրատներ) և պատրաստի մթերք՝ դրանց կամ սուրճի հիմքով, թեյի կամ մատեի (պարագվայական թեյի) հիմքով. բոված եղերդ և սուրճի այլ բոված փոխարինիչներ և դրանց լուծամզուքները, բնահյութերը և խտածոները</w:t>
            </w:r>
          </w:p>
        </w:tc>
        <w:tc>
          <w:tcPr>
            <w:tcW w:w="2820" w:type="dxa"/>
            <w:noWrap/>
          </w:tcPr>
          <w:p>
            <w:pPr/>
            <w:r>
              <w:rPr/>
              <w:t xml:space="preserve">սուրճ</w:t>
            </w:r>
          </w:p>
        </w:tc>
      </w:tr>
      <w:tr>
        <w:trPr/>
        <w:tc>
          <w:tcPr>
            <w:tcW w:w="1935" w:type="dxa"/>
            <w:noWrap/>
          </w:tcPr>
          <w:p>
            <w:pPr/>
            <w:r>
              <w:rPr/>
              <w:t xml:space="preserve">2309</w:t>
            </w:r>
          </w:p>
        </w:tc>
        <w:tc>
          <w:tcPr>
            <w:tcW w:w="6015" w:type="dxa"/>
            <w:noWrap/>
          </w:tcPr>
          <w:p>
            <w:pPr/>
            <w:r>
              <w:rPr/>
              <w:t xml:space="preserve">կենդանիներին կերակրելու համար օգտագործվող մթերք</w:t>
            </w:r>
          </w:p>
        </w:tc>
        <w:tc>
          <w:tcPr>
            <w:tcW w:w="2820" w:type="dxa"/>
            <w:noWrap/>
          </w:tcPr>
          <w:p>
            <w:pPr/>
            <w:r>
              <w:rPr/>
              <w:t xml:space="preserve">մթերք</w:t>
            </w:r>
          </w:p>
        </w:tc>
      </w:tr>
      <w:tr>
        <w:trPr/>
        <w:tc>
          <w:tcPr>
            <w:tcW w:w="1935" w:type="dxa"/>
            <w:noWrap/>
          </w:tcPr>
          <w:p>
            <w:pPr/>
            <w:r>
              <w:rPr/>
              <w:t xml:space="preserve">2710 19 710 0</w:t>
            </w:r>
          </w:p>
          <w:p>
            <w:pPr/>
            <w:r>
              <w:rPr/>
              <w:t xml:space="preserve">2710 19 750 0</w:t>
            </w:r>
          </w:p>
          <w:p>
            <w:pPr/>
            <w:r>
              <w:rPr/>
              <w:t xml:space="preserve">2710 19 820 0</w:t>
            </w:r>
          </w:p>
          <w:p>
            <w:pPr/>
            <w:r>
              <w:rPr/>
              <w:t xml:space="preserve">2710 19 840 0</w:t>
            </w:r>
          </w:p>
          <w:p>
            <w:pPr/>
            <w:r>
              <w:rPr/>
              <w:t xml:space="preserve">2710 19 860 0</w:t>
            </w:r>
          </w:p>
          <w:p>
            <w:pPr/>
            <w:r>
              <w:rPr/>
              <w:t xml:space="preserve">2710 19 880 0</w:t>
            </w:r>
          </w:p>
          <w:p>
            <w:pPr/>
            <w:r>
              <w:rPr/>
              <w:t xml:space="preserve">2710 19 920 0</w:t>
            </w:r>
          </w:p>
          <w:p>
            <w:pPr/>
            <w:r>
              <w:rPr/>
              <w:t xml:space="preserve">2710 19 940 0</w:t>
            </w:r>
          </w:p>
          <w:p>
            <w:pPr/>
            <w:r>
              <w:rPr/>
              <w:t xml:space="preserve">2710 19 980 0</w:t>
            </w:r>
          </w:p>
        </w:tc>
        <w:tc>
          <w:tcPr>
            <w:tcW w:w="6015" w:type="dxa"/>
            <w:noWrap/>
          </w:tcPr>
          <w:p>
            <w:pPr/>
            <w:r>
              <w:rPr/>
              <w:t xml:space="preserve">քսայուղեր, այլ յուղեր</w:t>
            </w:r>
          </w:p>
        </w:tc>
        <w:tc>
          <w:tcPr>
            <w:tcW w:w="2820" w:type="dxa"/>
            <w:noWrap/>
          </w:tcPr>
          <w:p>
            <w:pPr/>
            <w:r>
              <w:rPr/>
              <w:t xml:space="preserve">նավթավերամշակման արտադրանք</w:t>
            </w:r>
          </w:p>
        </w:tc>
      </w:tr>
      <w:tr>
        <w:trPr/>
        <w:tc>
          <w:tcPr>
            <w:tcW w:w="1935" w:type="dxa"/>
            <w:noWrap/>
          </w:tcPr>
          <w:p>
            <w:pPr/>
            <w:r>
              <w:rPr/>
              <w:t xml:space="preserve">2936</w:t>
            </w:r>
          </w:p>
        </w:tc>
        <w:tc>
          <w:tcPr>
            <w:tcW w:w="6015" w:type="dxa"/>
            <w:noWrap/>
          </w:tcPr>
          <w:p>
            <w:pPr/>
            <w:r>
              <w:rPr/>
              <w:t xml:space="preserve">պրովիտամիններ, վիտամիններ</w:t>
            </w:r>
          </w:p>
        </w:tc>
        <w:tc>
          <w:tcPr>
            <w:tcW w:w="2820" w:type="dxa"/>
            <w:noWrap/>
          </w:tcPr>
          <w:p>
            <w:pPr/>
            <w:r>
              <w:rPr/>
              <w:t xml:space="preserve">վիտամին</w:t>
            </w:r>
          </w:p>
        </w:tc>
      </w:tr>
      <w:tr>
        <w:trPr/>
        <w:tc>
          <w:tcPr>
            <w:tcW w:w="1935" w:type="dxa"/>
            <w:noWrap/>
          </w:tcPr>
          <w:p>
            <w:pPr/>
            <w:r>
              <w:rPr/>
              <w:t xml:space="preserve">3002 41 000 0</w:t>
            </w:r>
          </w:p>
        </w:tc>
        <w:tc>
          <w:tcPr>
            <w:tcW w:w="6015" w:type="dxa"/>
            <w:noWrap/>
          </w:tcPr>
          <w:p>
            <w:pPr/>
            <w:r>
              <w:rPr/>
              <w:t xml:space="preserve">պատվաստանյութ՝ մարդու համար, մանրածախ առևտրի համար</w:t>
            </w:r>
          </w:p>
        </w:tc>
        <w:tc>
          <w:tcPr>
            <w:tcW w:w="2820" w:type="dxa"/>
            <w:noWrap/>
          </w:tcPr>
          <w:p>
            <w:pPr/>
            <w:r>
              <w:rPr/>
              <w:t xml:space="preserve">պատվաստանյութ</w:t>
            </w:r>
          </w:p>
        </w:tc>
      </w:tr>
      <w:tr>
        <w:trPr/>
        <w:tc>
          <w:tcPr>
            <w:tcW w:w="1935" w:type="dxa"/>
            <w:noWrap/>
          </w:tcPr>
          <w:p>
            <w:pPr/>
            <w:r>
              <w:rPr/>
              <w:t xml:space="preserve">3002 42 000 0</w:t>
            </w:r>
          </w:p>
        </w:tc>
        <w:tc>
          <w:tcPr>
            <w:tcW w:w="6015" w:type="dxa"/>
            <w:noWrap/>
          </w:tcPr>
          <w:p>
            <w:pPr/>
            <w:r>
              <w:rPr/>
              <w:t xml:space="preserve">պատվաստանյութ՝ կենդանիների համար</w:t>
            </w:r>
          </w:p>
        </w:tc>
        <w:tc>
          <w:tcPr>
            <w:tcW w:w="2820" w:type="dxa"/>
            <w:noWrap/>
          </w:tcPr>
          <w:p>
            <w:pPr/>
            <w:r>
              <w:rPr/>
              <w:t xml:space="preserve">պատվաստանյութ</w:t>
            </w:r>
          </w:p>
        </w:tc>
      </w:tr>
      <w:tr>
        <w:trPr/>
        <w:tc>
          <w:tcPr>
            <w:tcW w:w="1935" w:type="dxa"/>
            <w:noWrap/>
          </w:tcPr>
          <w:p>
            <w:pPr/>
            <w:r>
              <w:rPr/>
              <w:t xml:space="preserve">3004</w:t>
            </w:r>
          </w:p>
        </w:tc>
        <w:tc>
          <w:tcPr>
            <w:tcW w:w="6015" w:type="dxa"/>
            <w:noWrap/>
          </w:tcPr>
          <w:p>
            <w:pPr/>
            <w:r>
              <w:rPr/>
              <w:t xml:space="preserve">դեղամիջոց՝ թերապևտիկ և պրոֆիլակտիկ նպատակներով օգտագործման համար՝ փաթեթավորված մանրածախ առևտրի համար, բացառությամբ պետության կողմից կենտրոնացված կարգով ձեռք բերվող և երաշխավորված կարգով տրամադրվող ինսուլինի կամ թմրամիջոցներ կամ հոգեմետ (հոգեներգործուն) նյութ պարունակող դեղերի, որոնց համար դրոշմապիտակով դրոշմավորում չի պահանջվում</w:t>
            </w:r>
          </w:p>
        </w:tc>
        <w:tc>
          <w:tcPr>
            <w:tcW w:w="2820" w:type="dxa"/>
            <w:noWrap/>
          </w:tcPr>
          <w:p>
            <w:pPr/>
            <w:r>
              <w:rPr/>
              <w:t xml:space="preserve">դեղ</w:t>
            </w:r>
          </w:p>
        </w:tc>
      </w:tr>
      <w:tr>
        <w:trPr/>
        <w:tc>
          <w:tcPr>
            <w:tcW w:w="1935" w:type="dxa"/>
            <w:noWrap/>
          </w:tcPr>
          <w:p>
            <w:pPr/>
            <w:r>
              <w:rPr/>
              <w:t xml:space="preserve">3006 30 000 0</w:t>
            </w:r>
          </w:p>
        </w:tc>
        <w:tc>
          <w:tcPr>
            <w:tcW w:w="6015" w:type="dxa"/>
            <w:noWrap/>
          </w:tcPr>
          <w:p>
            <w:pPr/>
            <w:r>
              <w:rPr/>
              <w:t xml:space="preserve">կոնտրաստային նյութեր՝ ռենտգենաբանական հետազոտությունների համար, ախտորոշիչ ռեագենտներ, որոնք նախատեսված են հիվանդներին բժշկական նպատակներով ներարկելու համար</w:t>
            </w:r>
          </w:p>
        </w:tc>
        <w:tc>
          <w:tcPr>
            <w:tcW w:w="2820" w:type="dxa"/>
            <w:noWrap/>
          </w:tcPr>
          <w:p>
            <w:pPr/>
            <w:r>
              <w:rPr/>
              <w:t xml:space="preserve">կոնտրաստային նյութեր</w:t>
            </w:r>
          </w:p>
        </w:tc>
      </w:tr>
      <w:tr>
        <w:trPr/>
        <w:tc>
          <w:tcPr>
            <w:tcW w:w="1935" w:type="dxa"/>
            <w:noWrap/>
          </w:tcPr>
          <w:p>
            <w:pPr/>
            <w:r>
              <w:rPr/>
              <w:t xml:space="preserve"> 3006 60 000 0</w:t>
            </w:r>
          </w:p>
        </w:tc>
        <w:tc>
          <w:tcPr>
            <w:tcW w:w="6015" w:type="dxa"/>
            <w:noWrap/>
          </w:tcPr>
          <w:p>
            <w:pPr/>
            <w:r>
              <w:rPr/>
              <w:t xml:space="preserve">քիմիական հակաբեղմնավորիչներ, որոնք պատրաստված են հորմոնների, 2937 ապրանքային դիրքի այլ միացությունների կամ սպերմիցիդների հիման վրա</w:t>
            </w:r>
          </w:p>
        </w:tc>
        <w:tc>
          <w:tcPr>
            <w:tcW w:w="2820" w:type="dxa"/>
            <w:noWrap/>
          </w:tcPr>
          <w:p>
            <w:pPr/>
            <w:r>
              <w:rPr/>
              <w:t xml:space="preserve"> հակաբեղմնավորիչներ</w:t>
            </w:r>
          </w:p>
        </w:tc>
      </w:tr>
      <w:tr>
        <w:trPr/>
        <w:tc>
          <w:tcPr>
            <w:tcW w:w="1935" w:type="dxa"/>
            <w:noWrap/>
          </w:tcPr>
          <w:p>
            <w:pPr/>
            <w:r>
              <w:rPr/>
              <w:t xml:space="preserve">3203 00</w:t>
            </w:r>
          </w:p>
        </w:tc>
        <w:tc>
          <w:tcPr>
            <w:tcW w:w="6015" w:type="dxa"/>
            <w:noWrap/>
          </w:tcPr>
          <w:p>
            <w:pPr/>
            <w:r>
              <w:rPr/>
              <w:t xml:space="preserve">բուսական կամ կենդանական ծագում ունեցող ներկող նյութեր (ներառյալ՝ ներկող լուծամզուքները, բացի կենդանական ածուխից)՝ որոշակի կամ անորոշ քիմիական բաղադրության, տվյալ խմբի 3-րդ ծանոթագրության մեջ նշված բուսական կամ կենդանական ծագում ունեցող ներկող նյութերի հիմքով պատրաստված պատրաստուկներ</w:t>
            </w:r>
          </w:p>
        </w:tc>
        <w:tc>
          <w:tcPr>
            <w:tcW w:w="2820" w:type="dxa"/>
            <w:noWrap/>
          </w:tcPr>
          <w:p>
            <w:pPr/>
            <w:r>
              <w:rPr/>
              <w:t xml:space="preserve">ներկանյութեր</w:t>
            </w:r>
          </w:p>
        </w:tc>
      </w:tr>
      <w:tr>
        <w:trPr/>
        <w:tc>
          <w:tcPr>
            <w:tcW w:w="1935" w:type="dxa"/>
            <w:noWrap/>
          </w:tcPr>
          <w:p>
            <w:pPr/>
            <w:r>
              <w:rPr/>
              <w:t xml:space="preserve">3204</w:t>
            </w:r>
          </w:p>
        </w:tc>
        <w:tc>
          <w:tcPr>
            <w:tcW w:w="6015" w:type="dxa"/>
            <w:noWrap/>
          </w:tcPr>
          <w:p>
            <w:pPr/>
            <w:r>
              <w:rPr/>
              <w:t xml:space="preserve">օրգանական սինթետիկ ներկող նյութեր՝ որոշակի կամ անորոշ քիմիական բաղադրության, պատրաստուկներ՝ պատրաստված տվյալ խմբի 3-րդ ծանոթագրության մեջ նշված օրգանական սինթետիկ ներկող նյութերի հիմքով, օրգանական սինթետիկ արտադրանք, որն օգտագործվում է որպես օպտիկական սպիտակեցնող նյութ կամ լյումինաֆոր՝ որոշակի կամ անորոշ քիմիական բաղադրության</w:t>
            </w:r>
          </w:p>
        </w:tc>
        <w:tc>
          <w:tcPr>
            <w:tcW w:w="2820" w:type="dxa"/>
            <w:noWrap/>
          </w:tcPr>
          <w:p>
            <w:pPr/>
            <w:r>
              <w:rPr/>
              <w:t xml:space="preserve">ներկանյութեր</w:t>
            </w:r>
          </w:p>
        </w:tc>
      </w:tr>
      <w:tr>
        <w:trPr/>
        <w:tc>
          <w:tcPr>
            <w:tcW w:w="1935" w:type="dxa"/>
            <w:noWrap/>
          </w:tcPr>
          <w:p>
            <w:pPr/>
            <w:r>
              <w:rPr/>
              <w:t xml:space="preserve">3205 00 000 0</w:t>
            </w:r>
          </w:p>
        </w:tc>
        <w:tc>
          <w:tcPr>
            <w:tcW w:w="6015" w:type="dxa"/>
            <w:noWrap/>
          </w:tcPr>
          <w:p>
            <w:pPr/>
            <w:r>
              <w:rPr/>
              <w:t xml:space="preserve">գունավոր լաքեր, տվյալ խմբի 3-րդ ծանոթագրության մեջ նշված գունավոր լաքերի հիմքով պատրաստուկներ</w:t>
            </w:r>
          </w:p>
        </w:tc>
        <w:tc>
          <w:tcPr>
            <w:tcW w:w="2820" w:type="dxa"/>
            <w:noWrap/>
          </w:tcPr>
          <w:p>
            <w:pPr/>
            <w:r>
              <w:rPr/>
              <w:t xml:space="preserve">լաքեր</w:t>
            </w:r>
          </w:p>
        </w:tc>
      </w:tr>
      <w:tr>
        <w:trPr/>
        <w:tc>
          <w:tcPr>
            <w:tcW w:w="1935" w:type="dxa"/>
            <w:noWrap/>
          </w:tcPr>
          <w:p>
            <w:pPr/>
            <w:r>
              <w:rPr/>
              <w:t xml:space="preserve">3206</w:t>
            </w:r>
          </w:p>
        </w:tc>
        <w:tc>
          <w:tcPr>
            <w:tcW w:w="6015" w:type="dxa"/>
            <w:noWrap/>
          </w:tcPr>
          <w:p>
            <w:pPr/>
            <w:r>
              <w:rPr/>
              <w:t xml:space="preserve">ներկող այլ նյութեր, տվյալ խմբի 3-րդ ծանոթագրության մեջ նշված և 3203, 3204 կամ 3205 ապրանքային դիրքերում ընդգրկված պատրաստուկներից տարբեր պատրաստուկներ, որպես լյումինաֆոր օգտագործվող անօրգանական արտադրանք՝ որոշակի կամ անորոշ քիմիական բաղադրության</w:t>
            </w:r>
          </w:p>
        </w:tc>
        <w:tc>
          <w:tcPr>
            <w:tcW w:w="2820" w:type="dxa"/>
            <w:noWrap/>
          </w:tcPr>
          <w:p>
            <w:pPr/>
            <w:r>
              <w:rPr/>
              <w:t xml:space="preserve">ներկանյութեր</w:t>
            </w:r>
          </w:p>
        </w:tc>
      </w:tr>
      <w:tr>
        <w:trPr/>
        <w:tc>
          <w:tcPr>
            <w:tcW w:w="1935" w:type="dxa"/>
            <w:noWrap/>
          </w:tcPr>
          <w:p>
            <w:pPr/>
            <w:r>
              <w:rPr/>
              <w:t xml:space="preserve">3207 10 000 0</w:t>
            </w:r>
          </w:p>
        </w:tc>
        <w:tc>
          <w:tcPr>
            <w:tcW w:w="6015" w:type="dxa"/>
            <w:noWrap/>
          </w:tcPr>
          <w:p>
            <w:pPr/>
            <w:r>
              <w:rPr/>
              <w:t xml:space="preserve">պատրաստի գունանյութեր, ապակու պատրաստի պղտորիչներ և պատրաստի ներկեր և համանման պատրաստուկներ</w:t>
            </w:r>
          </w:p>
        </w:tc>
        <w:tc>
          <w:tcPr>
            <w:tcW w:w="2820" w:type="dxa"/>
            <w:noWrap/>
          </w:tcPr>
          <w:p>
            <w:pPr/>
            <w:r>
              <w:rPr/>
              <w:t xml:space="preserve">ներկանյութեր</w:t>
            </w:r>
          </w:p>
        </w:tc>
      </w:tr>
      <w:tr>
        <w:trPr/>
        <w:tc>
          <w:tcPr>
            <w:tcW w:w="1935" w:type="dxa"/>
            <w:noWrap/>
          </w:tcPr>
          <w:p>
            <w:pPr/>
            <w:r>
              <w:rPr/>
              <w:t xml:space="preserve">3208</w:t>
            </w:r>
          </w:p>
        </w:tc>
        <w:tc>
          <w:tcPr>
            <w:tcW w:w="6015" w:type="dxa"/>
            <w:noWrap/>
          </w:tcPr>
          <w:p>
            <w:pPr/>
            <w:r>
              <w:rPr/>
              <w:t xml:space="preserve">ներկեր և լաքեր (ներառյալ՝ արծնները և ողորկալաքերը)՝ սինթետիկ պոլիմերների կամ քիմիապես վերափոխված բնական պոլիմերների հիմքով՝ ոչ ջրային միջավայրում դիսպերսված կամ լուծված, տվյալ խմբի 4-րդ ծանոթագրության մեջ նշված լուծույթներ</w:t>
            </w:r>
          </w:p>
        </w:tc>
        <w:tc>
          <w:tcPr>
            <w:tcW w:w="2820" w:type="dxa"/>
            <w:noWrap/>
          </w:tcPr>
          <w:p>
            <w:pPr/>
            <w:r>
              <w:rPr/>
              <w:t xml:space="preserve">ներկանյութեր</w:t>
            </w:r>
          </w:p>
        </w:tc>
      </w:tr>
      <w:tr>
        <w:trPr/>
        <w:tc>
          <w:tcPr>
            <w:tcW w:w="1935" w:type="dxa"/>
            <w:noWrap/>
          </w:tcPr>
          <w:p>
            <w:pPr/>
            <w:r>
              <w:rPr/>
              <w:t xml:space="preserve">3209</w:t>
            </w:r>
          </w:p>
        </w:tc>
        <w:tc>
          <w:tcPr>
            <w:tcW w:w="6015" w:type="dxa"/>
            <w:noWrap/>
          </w:tcPr>
          <w:p>
            <w:pPr/>
            <w:r>
              <w:rPr/>
              <w:t xml:space="preserve">ներկեր և լաքեր (ներառյալ՝ արծնները և ողորկալաքերը)՝ սինթետիկ պոլիմերների կամ քիմիապես վերափոխված բնական պոլիմերների հիմքով՝ ջրային միջավայրում դիսպերսված կամ լուծված</w:t>
            </w:r>
          </w:p>
        </w:tc>
        <w:tc>
          <w:tcPr>
            <w:tcW w:w="2820" w:type="dxa"/>
            <w:noWrap/>
          </w:tcPr>
          <w:p>
            <w:pPr/>
            <w:r>
              <w:rPr/>
              <w:t xml:space="preserve">ներկանյութեր</w:t>
            </w:r>
          </w:p>
        </w:tc>
      </w:tr>
      <w:tr>
        <w:trPr/>
        <w:tc>
          <w:tcPr>
            <w:tcW w:w="1935" w:type="dxa"/>
            <w:noWrap/>
          </w:tcPr>
          <w:p>
            <w:pPr/>
            <w:r>
              <w:rPr/>
              <w:t xml:space="preserve">3210 00</w:t>
            </w:r>
          </w:p>
        </w:tc>
        <w:tc>
          <w:tcPr>
            <w:tcW w:w="6015" w:type="dxa"/>
            <w:noWrap/>
          </w:tcPr>
          <w:p>
            <w:pPr/>
            <w:r>
              <w:rPr/>
              <w:t xml:space="preserve">այլ ներկեր և լաքեր (ներառյալ՝ արծնները, ողորկալաքերը և սոսնձային ներկերը), պատրաստի ջրային գունանյութեր՝ կաշվի մշակման համար օգտագործվող</w:t>
            </w:r>
          </w:p>
        </w:tc>
        <w:tc>
          <w:tcPr>
            <w:tcW w:w="2820" w:type="dxa"/>
            <w:noWrap/>
          </w:tcPr>
          <w:p>
            <w:pPr/>
            <w:r>
              <w:rPr/>
              <w:t xml:space="preserve">ներկանյութեր</w:t>
            </w:r>
          </w:p>
        </w:tc>
      </w:tr>
      <w:tr>
        <w:trPr/>
        <w:tc>
          <w:tcPr>
            <w:tcW w:w="1935" w:type="dxa"/>
            <w:noWrap/>
          </w:tcPr>
          <w:p>
            <w:pPr/>
            <w:r>
              <w:rPr/>
              <w:t xml:space="preserve">3211 00 000 0</w:t>
            </w:r>
          </w:p>
        </w:tc>
        <w:tc>
          <w:tcPr>
            <w:tcW w:w="6015" w:type="dxa"/>
            <w:noWrap/>
          </w:tcPr>
          <w:p>
            <w:pPr/>
            <w:r>
              <w:rPr/>
              <w:t xml:space="preserve">պատրաստի չորարարներ</w:t>
            </w:r>
          </w:p>
        </w:tc>
        <w:tc>
          <w:tcPr>
            <w:tcW w:w="2820" w:type="dxa"/>
            <w:noWrap/>
          </w:tcPr>
          <w:p>
            <w:pPr/>
            <w:r>
              <w:rPr/>
              <w:t xml:space="preserve">չորարարներ</w:t>
            </w:r>
          </w:p>
        </w:tc>
      </w:tr>
      <w:tr>
        <w:trPr/>
        <w:tc>
          <w:tcPr>
            <w:tcW w:w="1935" w:type="dxa"/>
            <w:noWrap/>
          </w:tcPr>
          <w:p>
            <w:pPr/>
            <w:r>
              <w:rPr/>
              <w:t xml:space="preserve">3212</w:t>
            </w:r>
          </w:p>
        </w:tc>
        <w:tc>
          <w:tcPr>
            <w:tcW w:w="6015" w:type="dxa"/>
            <w:noWrap/>
          </w:tcPr>
          <w:p>
            <w:pPr/>
            <w:r>
              <w:rPr/>
              <w:t xml:space="preserve">գունանյութեր (ներառյալ՝ մետաղական փոշիներ և փաթիլներ)՝ ոչ ջրային միջավայրում դիսպերսված, հեղուկ կամ մածուկանման, որոնք օգտագործվում են ներկերի արտադրության մեջ (ներառյալ՝ արծնները), փայլաթիթեղ՝ դրոշմատպման համար, ներկանյութեր և ներկող այլ նյութեր՝ բաժնեծրարված կամ փաթեթավորմամբ՝ մանրածախ վաճառքի համար</w:t>
            </w:r>
          </w:p>
        </w:tc>
        <w:tc>
          <w:tcPr>
            <w:tcW w:w="2820" w:type="dxa"/>
            <w:noWrap/>
          </w:tcPr>
          <w:p>
            <w:pPr/>
            <w:r>
              <w:rPr/>
              <w:t xml:space="preserve">գունանյութեր</w:t>
            </w:r>
          </w:p>
        </w:tc>
      </w:tr>
      <w:tr>
        <w:trPr/>
        <w:tc>
          <w:tcPr>
            <w:tcW w:w="1935" w:type="dxa"/>
            <w:noWrap/>
          </w:tcPr>
          <w:p>
            <w:pPr/>
            <w:r>
              <w:rPr/>
              <w:t xml:space="preserve">3303 00</w:t>
            </w:r>
          </w:p>
        </w:tc>
        <w:tc>
          <w:tcPr>
            <w:tcW w:w="6015" w:type="dxa"/>
            <w:noWrap/>
          </w:tcPr>
          <w:p>
            <w:pPr/>
            <w:r>
              <w:rPr/>
              <w:t xml:space="preserve">օծանելիք, հարդաջուր</w:t>
            </w:r>
          </w:p>
        </w:tc>
        <w:tc>
          <w:tcPr>
            <w:tcW w:w="2820" w:type="dxa"/>
            <w:noWrap/>
          </w:tcPr>
          <w:p>
            <w:pPr/>
            <w:r>
              <w:rPr/>
              <w:t xml:space="preserve">օծանելիք</w:t>
            </w:r>
          </w:p>
        </w:tc>
      </w:tr>
      <w:tr>
        <w:trPr/>
        <w:tc>
          <w:tcPr>
            <w:tcW w:w="1935" w:type="dxa"/>
            <w:noWrap/>
          </w:tcPr>
          <w:p>
            <w:pPr/>
            <w:r>
              <w:rPr/>
              <w:t xml:space="preserve">3403 19 100 0</w:t>
            </w:r>
            <w:br/>
            <w:r>
              <w:rPr/>
              <w:t xml:space="preserve"> 3403 19 900 0</w:t>
            </w:r>
            <w:br/>
            <w:r>
              <w:rPr/>
              <w:t xml:space="preserve"> 3403 99 000 0</w:t>
            </w:r>
          </w:p>
        </w:tc>
        <w:tc>
          <w:tcPr>
            <w:tcW w:w="6015" w:type="dxa"/>
            <w:noWrap/>
          </w:tcPr>
          <w:p>
            <w:pPr/>
            <w:r>
              <w:rPr/>
              <w:t xml:space="preserve">քսայուղեր, այլ յուղեր</w:t>
            </w:r>
          </w:p>
        </w:tc>
        <w:tc>
          <w:tcPr>
            <w:tcW w:w="2820" w:type="dxa"/>
            <w:noWrap/>
          </w:tcPr>
          <w:p>
            <w:pPr/>
            <w:r>
              <w:rPr/>
              <w:t xml:space="preserve">նավթավերամշակման արտադրանք</w:t>
            </w:r>
          </w:p>
        </w:tc>
      </w:tr>
    </w:tbl>
    <w:p>
      <w:pPr/>
      <w:r>
        <w:rPr>
          <w:b w:val="1"/>
          <w:bCs w:val="1"/>
        </w:rPr>
        <w:t xml:space="preserve"> </w:t>
      </w:r>
    </w:p>
    <w:p>
      <w:pPr/>
      <w:br/>
      <w:r>
        <w:rPr>
          <w:b w:val="1"/>
          <w:bCs w:val="1"/>
        </w:rPr>
        <w:t xml:space="preserve"> </w:t>
      </w:r>
    </w:p>
    <w:p>
      <w:pPr/>
      <w:r>
        <w:rPr>
          <w:b w:val="1"/>
          <w:bCs w:val="1"/>
        </w:rPr>
        <w:t xml:space="preserve"> </w:t>
      </w:r>
    </w:p>
    <w:p>
      <w:pPr>
        <w:jc w:val="end"/>
      </w:pPr>
      <w:r>
        <w:rPr>
          <w:b w:val="1"/>
          <w:bCs w:val="1"/>
        </w:rPr>
        <w:t xml:space="preserve">Հավելված N 2</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ՀԱՅԱՍՏԱՆԻ ՀԱՆՐԱՊԵՏՈՒԹՅՈՒՆՈՒՄ ԱՊՐԱՆՔՆԵՐԻ ԴՐՈՇՄԱՎՈՐՄԱՆ ՓՈՐՁՆԱԿԱՆ ԾՐԱԳԻՐ</w:t>
      </w:r>
    </w:p>
    <w:p>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ծածկագիրը չկեղծվող է, ունիկալ և չկրկնվող ապրանքների յուրաքանչյուր միավորի համար։ Դրոշմավորման ծածկագրերը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ծրագրի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 և այլ պետական մարմինները, որոնք լիազորված են ծրագիրն իրականացնելու համար,</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ծրագիրը նույնպես պարունակում է որոշակի</w:t>
      </w:r>
    </w:p>
    <w:p>
      <w:pPr/>
      <w:r>
        <w:rPr/>
        <w:t xml:space="preserve">ռիսկ։ Հնարավոր է, որ որոշ արտադրող կամ ներմուծող կազմակերպությունների համար տեխնիկական վերազինման անհրաժեշտություն։</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CE3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A7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D4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A752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FE176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8D3DC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42B36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ED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EF8B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52EA1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9249E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55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8FBBA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1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7D219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AB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29A30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87048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7A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C1E99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9F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E83A38E"/>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600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947E1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D69FD1"/>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089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EC13D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249AE66"/>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6A6A56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0AF2D6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2026-03-31T04:12:29+04:00</dcterms:created>
  <dcterms:modified xsi:type="dcterms:W3CDTF">2026-03-31T04:12:29+04:00</dcterms:modified>
</cp:coreProperties>
</file>

<file path=docProps/custom.xml><?xml version="1.0" encoding="utf-8"?>
<Properties xmlns="http://schemas.openxmlformats.org/officeDocument/2006/custom-properties" xmlns:vt="http://schemas.openxmlformats.org/officeDocument/2006/docPropsVTypes"/>
</file>