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ՎՏԱՆԳԱՎՈՐ ԲԵՌՆԵՐ ՓՈԽԱԴՐՈՂ ՏՐԱՆՍՊՈՐՏԱՅԻՆ ՄԻՋՈՑԻ ՀԱՍՏԱՏՄԱՆ ՎԿԱՅԱԿԱՆԻ ՁԵՎԸ ԵՎ ՏՐՄԱՆ ԿԱՐԳԸ ՀԱՍՏԱՏԵԼՈՒ ՄԱՍԻՆ</w:t></w:r><w:bookmarkEnd w:id="0"/></w:p><w:p><w:pPr/><w:r><w:rPr><w:b w:val="1"/><w:bCs w:val="1"/></w:rPr><w:t xml:space="preserve">ՆԱԽԱԳՒԾ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 ՈՒ Մ</w:t></w:r></w:p><w:p><w:pPr/><w:r><w:rPr/><w:t xml:space="preserve"> </w:t></w:r></w:p><w:p><w:pPr/><w:r><w:rPr/><w:t xml:space="preserve"><<———>>——— 2024 թվականի N ————-Ն</w:t></w:r></w:p><w:p><w:pPr/><w:r><w:rPr/><w:t xml:space="preserve"> </w:t></w:r></w:p><w:p><w:pPr/><w:r><w:rPr/><w:t xml:space="preserve"> </w:t></w:r></w:p><w:p><w:pPr/><w:r><w:rPr><w:b w:val="1"/><w:bCs w:val="1"/></w:rPr><w:t xml:space="preserve">ՎՏԱՆԳԱՎՈՐ ԲԵՌՆԵՐ ՓՈԽԱԴՐՈՂ ՏՐԱՆՍՊՈՐՏԱՅԻՆ ՄԻՋՈՑԻ ՀԱՍՏԱՏՄԱՆ ՎԿԱՅԱԿԱՆԻ ՁԵՎԸ ԵՎ ՏՐՄԱՆ ԿԱՐԳԸ ՀԱՍՏԱՏԵԼՈՒ ՄԱՍԻՆ  </w:t></w:r></w:p><w:p><w:pPr/><w:r><w:rPr><w:b w:val="1"/><w:bCs w:val="1"/></w:rPr><w:t xml:space="preserve"> </w:t></w:r></w:p><w:p><w:pPr/><w:r><w:rPr/><w:t xml:space="preserve">Ղեկավարվելով «Ավտոմոբիլային տրանսպորտով վտանգավոր բեռներ և չվնասազերծված տարաներ փոխադրելու մասին» օրենքի 7-րդ հոդվածի 1-ին մասի 10-րդ  կետով` Հայաստանի Հանրապետության կառավարությունը </w:t></w:r><w:r><w:rPr><w:b w:val="1"/><w:bCs w:val="1"/></w:rPr><w:t xml:space="preserve">որոշում է.</w:t></w:r></w:p><w:p><w:pPr/><w:r><w:rPr/><w:t xml:space="preserve">          1․  Հաստատել՝</w:t></w:r></w:p><w:p><w:pPr><w:numPr><w:ilvl w:val="0"/><w:numId w:val="2"/></w:numPr></w:pPr><w:r><w:rPr/><w:t xml:space="preserve">վտանգավոր բեռներ փոխադրող տրանսպորտային միջոցի հաստատման վկայականի ձևը՝ համաձայն հավելված N 1-ի․</w:t></w:r></w:p><w:p><w:pPr><w:numPr><w:ilvl w:val="0"/><w:numId w:val="2"/></w:numPr></w:pPr><w:r><w:rPr/><w:t xml:space="preserve">վտանգավոր բեռներ փոխադրող տրանսպորտային միջոցի հաստատման վկայականի տրման կարգը՝ համաձայն հավելված N 2-ի․</w:t></w:r></w:p><w:p><w:pPr/><w:r><w:rPr/><w:t xml:space="preserve">          2․ Սույն որոշումն ուժի մեջ է մտնում պաշտոնական հրապարակմանը հաջորդող տասներորդ օրը:</w:t></w:r></w:p><w:p><w:pPr/><w:r><w:rPr/><w:t xml:space="preserve"> </w:t></w:r></w:p><w:tbl><w:tblGrid><w:gridCol w:w="4500" w:type="dxa"/><w:gridCol w:w="5000" w:type="dxa"/></w:tblGrid><w:tblPr><w:tblW w:w="5000" w:type="pct"/><w:tblLayout w:type="autofit"/></w:tblPr><w:tr><w:trPr/><w:tc><w:tcPr><w:tcW w:w="4500" w:type="dxa"/><w:noWrap/></w:tcPr><w:p><w:pPr/><w:r><w:rPr><w:b w:val="1"/><w:bCs w:val="1"/></w:rPr><w:t xml:space="preserve">Հ</w:t></w:r><w:r><w:rPr><w:b w:val="1"/><w:bCs w:val="1"/></w:rPr><w:t xml:space="preserve">այաստանի Հանրապետության</w:t></w:r><w:br/><w:r><w:rPr><w:b w:val="1"/><w:bCs w:val="1"/></w:rPr><w:t xml:space="preserve"> վարչապետ</w:t></w:r></w:p></w:tc><w:tc><w:tcPr><w:tcW w:w="5000" w:type="pct"/><w:noWrap/></w:tcPr><w:p><w:pPr/><w:r><w:rPr><w:b w:val="1"/><w:bCs w:val="1"/></w:rPr><w:t xml:space="preserve">Ն. Փաշինյան</w:t></w:r></w:p></w:tc></w:tr><w:tr><w:trPr/><w:tc><w:tcPr><w:tcW w:w="4500" w:type="dxa"/><w:noWrap/></w:tcPr><w:p><w:pPr/><w:r><w:rPr/><w:t xml:space="preserve"> </w:t></w:r></w:p><w:p><w:pPr/><w:r><w:rPr/><w:t xml:space="preserve">Երևան</w:t></w:r></w:p></w:tc><w:tc><w:tcPr><w:tcW w:w="5000" w:type="pct"/><w:noWrap/></w:tcPr><w:p><w:pPr/><w:r><w:rPr/><w:t xml:space="preserve"> </w:t></w:r></w:p></w:tc></w:tr></w:tbl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Հավելված N 1</w:t></w:r><w:br/><w:r><w:rPr/><w:t xml:space="preserve"> ՀՀ կառավարության</w:t></w:r></w:p><w:p><w:pPr/><w:r><w:rPr/><w:t xml:space="preserve"><<——>>————2024թ․</w:t></w:r><w:br/><w:r><w:rPr/><w:t xml:space="preserve"> N —————-Ն որոշման</w:t></w:r><w:r><w:rPr><w:b w:val="1"/><w:bCs w:val="1"/></w:rPr><w:t xml:space="preserve"> </w:t></w:r></w:p><w:p><w:pPr/><w:r><w:rPr/><w:t xml:space="preserve">Ձև</w:t></w:r></w:p><w:p><w:pPr/><w:r><w:rPr><w:b w:val="1"/><w:bCs w:val="1"/></w:rPr><w:t xml:space="preserve"> </w:t></w:r></w:p><w:p><w:pPr/><w:r><w:rPr/><w:t xml:space="preserve">Դիմերես</w:t></w:r></w:p><w:p><w:pPr/><w:r><w:rPr><w:b w:val="1"/><w:bCs w:val="1"/></w:rPr><w:t xml:space="preserve">ՎԿԱՅԱԿԱՆ</w:t></w:r></w:p><w:p><w:pPr/><w:r><w:rPr><w:b w:val="1"/><w:bCs w:val="1"/></w:rPr><w:t xml:space="preserve">ՎՏԱՆԳԱՎՈՐ ԲԵՌՆԵՐ ՓՈԽԱԴՐՈՂ ՏՐԱՆՍՊՈՐՏԱՅԻՆ ՄԻՋՈՑԻ ՀԱՍՏԱՏՄԱՆ</w:t></w:r></w:p><w:p><w:pPr/><w:r><w:rPr><w:b w:val="1"/><w:bCs w:val="1"/></w:rPr><w:t xml:space="preserve">CERTIFICATE OF APPROVAL FOR VEHICLES CARRYING CERTAIN DANGEROUS GOODS</w:t></w:r></w:p><w:p><w:pPr/><w:r><w:rPr/><w:t xml:space="preserve"> </w:t></w:r></w:p><w:p><w:pPr/><w:r><w:rPr/><w:t xml:space="preserve">Սույն վկայականը հավաստում է, որ ներքոնշյալ տրանսպորտային միջոցը համապատասխանում է «Վտանգավոր բեռների միջազգային ճանապարհային փոխադրումների մասին» (ADR) Եվրոպական համաձայնագրով սահմանված պահանջներին:</w:t></w:r></w:p><w:p><w:pPr/><w:r><w:rPr/><w:t xml:space="preserve">This certificates testifies that the vehicle specified below fulfils the conditions prescribed by the European Agreement concerning the International Carriage of Dangerous Goods by Road (ADR).</w:t></w:r></w:p><w:p><w:pPr/><w:r><w:rPr/><w:t xml:space="preserve"> </w:t></w:r></w:p><w:tbl><w:tblGrid><w:gridCol w:w="2160" w:type="dxa"/><w:gridCol w:w="3330" w:type="dxa"/><w:gridCol w:w="2610" w:type="dxa"/><w:gridCol w:w="2790" w:type="dxa"/></w:tblGrid><w:tblPr><w:tblW w:w="10890" w:type="dxa"/><w:tblLayout w:type="autofit"/></w:tblPr><w:tr><w:trPr/><w:tc><w:tcPr><w:tcW w:w="2160" w:type="dxa"/><w:noWrap/></w:tcPr><w:p><w:pPr/><w:r><w:rPr/><w:t xml:space="preserve">1.Վկայական №</w:t></w:r></w:p><w:p><w:pPr/><w:r><w:rPr/><w:t xml:space="preserve">   Certificate №</w:t></w:r></w:p><w:p><w:pPr/><w:r><w:rPr/><w:t xml:space="preserve"> </w:t></w:r></w:p></w:tc><w:tc><w:tcPr><w:tcW w:w="3330" w:type="dxa"/><w:noWrap/></w:tcPr><w:p><w:pPr/><w:r><w:rPr/><w:t xml:space="preserve">2.Տրանսպորտային միջոց պատրաստողը</w:t></w:r></w:p><w:p><w:pPr/><w:r><w:rPr/><w:t xml:space="preserve">Vehicle manufacturer</w:t></w:r></w:p></w:tc><w:tc><w:tcPr><w:tcW w:w="2610" w:type="dxa"/><w:noWrap/></w:tcPr><w:p><w:pPr/><w:r><w:rPr/><w:t xml:space="preserve">3. Տրանսպորտային միջոցի նույնականացման համարը</w:t></w:r></w:p><w:p><w:pPr/><w:r><w:rPr/><w:t xml:space="preserve">Vehicle Identification №</w:t></w:r></w:p></w:tc><w:tc><w:tcPr><w:tcW w:w="2790" w:type="dxa"/><w:noWrap/></w:tcPr><w:p><w:pPr/><w:r><w:rPr/><w:t xml:space="preserve">4. Հաշվառման համարանիշը</w:t></w:r></w:p><w:p><w:pPr/><w:r><w:rPr/><w:t xml:space="preserve">Registration number (if any)</w:t></w:r></w:p><w:p><w:pPr/><w:r><w:rPr/><w:t xml:space="preserve"> </w:t></w:r></w:p></w:tc></w:tr><w:tr><w:trPr/><w:tc><w:tcPr><w:tcW w:w="10890" w:type="dxa"/><w:gridSpan w:val="4"/><w:noWrap/></w:tcPr><w:p><w:pPr/><w:r><w:rPr/><w:t xml:space="preserve">5. Փոխադրողի, օպերատորի կամ սեփականատիրոջ անվանումը և գտնվելու վայրը.</w:t></w:r></w:p><w:p><w:pPr/><w:r><w:rPr/><w:t xml:space="preserve">    Name and business address of carrier operator or owner:</w:t></w:r></w:p></w:tc></w:tr><w:tr><w:trPr/><w:tc><w:tcPr><w:tcW w:w="10890" w:type="dxa"/><w:gridSpan w:val="4"/><w:noWrap/></w:tcPr><w:p><w:pPr/><w:r><w:rPr/><w:t xml:space="preserve">6. Տրանսպորտային միջոցի նկարագրությունը.</w:t></w:r></w:p><w:p><w:pPr/><w:r><w:rPr/><w:t xml:space="preserve">    Description of vehicle:</w:t></w:r></w:p></w:tc></w:tr><w:tr><w:trPr/><w:tc><w:tcPr><w:tcW w:w="10890" w:type="dxa"/><w:gridSpan w:val="4"/><w:noWrap/></w:tcPr><w:p><w:pPr/><w:r><w:rPr/><w:t xml:space="preserve">7. Տրանսպորտային միջոցի նշանակությունը (ADR) Համաձայնագրի 9.1.1.2 կետի պահանջների համաձայն.</w:t></w:r></w:p><w:p><w:pPr/><w:r><w:rPr/><w:t xml:space="preserve">    Vehicle designation(s) according to 9.1.1.2 of ADR:</w:t></w:r></w:p><w:p><w:pPr/><w:r><w:rPr/><w:t xml:space="preserve">      EX/II                              EX/III                               FL                            OX                              AT                              MEMU</w:t></w:r></w:p></w:tc></w:tr><w:tr><w:trPr/><w:tc><w:tcPr><w:tcW w:w="10890" w:type="dxa"/><w:gridSpan w:val="4"/><w:noWrap/></w:tcPr><w:p><w:pPr/><w:r><w:rPr/><w:t xml:space="preserve">8.Դիմացկուն արգելակային համակարգ.</w:t></w:r></w:p><w:p><w:pPr/><w:r><w:rPr/><w:t xml:space="preserve">   Endurance braking system.</w:t></w:r></w:p><w:p><w:pPr/><w:r><w:rPr/><w:t xml:space="preserve">   □ Չի կիրառվում</w:t></w:r></w:p><w:p><w:pPr/><w:r><w:rPr/><w:t xml:space="preserve">         Not applicable</w:t></w:r></w:p><w:p><w:pPr/><w:r><w:rPr/><w:t xml:space="preserve">   □ Արդյունավետությունը (ADR) Համաձայնագրի 9.2.3.1 կետի պահանջների համաձայն բավարար է տրանսպորտային միավորի ____ տոննա  </w:t></w:r></w:p><w:p><w:pPr/><w:r><w:rPr/><w:t xml:space="preserve">        ընդհանուր զանգվածի համար.</w:t></w:r></w:p><w:p><w:pPr/><w:r><w:rPr/><w:t xml:space="preserve">        The effectiveness according 9.2.3.1 of ADR if sufficient for a total mass of the transport unit of _________ t:</w:t></w:r></w:p><w:p><w:pPr/><w:r><w:rPr/><w:t xml:space="preserve"> </w:t></w:r></w:p></w:tc></w:tr><w:tr><w:trPr/><w:tc><w:tcPr><w:tcW w:w="10890" w:type="dxa"/><w:gridSpan w:val="4"/><w:noWrap/></w:tcPr><w:p><w:pPr/><w:r><w:rPr/><w:t xml:space="preserve">9. Ներկառուցված ցիստեռնի (ների)/մարտկոց-տրանսպորտային միջոցի (եթե կիրառելի է)</w:t></w:r></w:p><w:p><w:pPr/><w:r><w:rPr/><w:t xml:space="preserve">    Description of the fixed tanh(s)/battery-vehicle (if any):</w:t></w:r></w:p><w:p><w:pPr/><w:r><w:rPr/><w:t xml:space="preserve">    9.1 Ցիստեռն պատրաստողը.</w:t></w:r></w:p><w:p><w:pPr/><w:r><w:rPr/><w:t xml:space="preserve">          Manufacturer of the tank_________________________________________________________________                </w:t></w:r></w:p><w:p><w:pPr/><w:r><w:rPr/><w:t xml:space="preserve">    9.2 Ցիստեռնի (ների)/մարտկոց-տրանսպորտային միջոցի հաստատման համարը.</w:t></w:r></w:p><w:p><w:pPr/><w:r><w:rPr/><w:t xml:space="preserve">          Approval number of the fixed tank(s)/battery-vehicle (if any):_________________________________________________________</w:t></w:r></w:p><w:p><w:pPr/><w:r><w:rPr/><w:t xml:space="preserve">    9.3 Արտադրողի կողմից տրված ցիստեռնի սերիական համարը/մարտկոց-տրանսպորտային միջոցի մասերի նշանակությունը.</w:t></w:r></w:p><w:p><w:pPr/><w:r><w:rPr/><w:t xml:space="preserve">         Tank manufacturer serial number/ identification of elements of battey-vehicle:___________________________________________</w:t></w:r></w:p><w:p><w:pPr/><w:r><w:rPr/><w:t xml:space="preserve">    9.4 Թողարկման տարեթիվը.</w:t></w:r></w:p><w:p><w:pPr/><w:r><w:rPr/><w:t xml:space="preserve">         Year of manufacture:___________________________________________________________________________________________</w:t></w:r></w:p><w:p><w:pPr/><w:r><w:rPr/><w:t xml:space="preserve">    9.5 Ցիստեռնի կոդը ըստ ADR 4.3.3.1 կամ 4.3.4.1 ենթաբաժինների.</w:t></w:r></w:p><w:p><w:pPr/><w:r><w:rPr/><w:t xml:space="preserve">          Tank code according to 4.3.3.1 or 4.3.4.1 of ADR:__________________________________________________________________</w:t></w:r></w:p><w:p><w:pPr/><w:r><w:rPr/><w:t xml:space="preserve">    9.6 Հատուկ նշումներ համաձայն ADR 6.8.4 բաժնի (եթե կիրառվել են)</w:t></w:r></w:p><w:p><w:pPr/><w:r><w:rPr/><w:t xml:space="preserve">          Special provisions according to 6.8.4 of ADR (if applicable)</w:t></w:r></w:p></w:tc></w:tr><w:tr><w:trPr/><w:tc><w:tcPr><w:tcW w:w="10890" w:type="dxa"/><w:gridSpan w:val="4"/><w:noWrap/></w:tcPr><w:p><w:pPr/><w:r><w:rPr/><w:t xml:space="preserve">10. Փոխադրելու համար թույլատրված վտանգավոր բեռներ.</w:t></w:r></w:p><w:p><w:pPr/><w:r><w:rPr/><w:t xml:space="preserve">     Dangerous goods authorized for the carriage:</w:t></w:r></w:p><w:p><w:pPr/><w:r><w:rPr/><w:t xml:space="preserve">Տրանսպորտային միջոցը համապատասխանում է 7-րդ կետում նշված տրանսպորտային միջոցների նշանակությունը(ները) սահմանող վտանգավոր բեռներ փոխադրելու համար նախատեսված պահանջներին:</w:t></w:r></w:p><w:p><w:pPr/><w:r><w:rPr/><w:t xml:space="preserve">The vehicle fulfils the condtions reguired for the carriage of dangerous goods assigned, to the vehicle designation(s) in № 7.</w:t></w:r></w:p><w:p><w:pPr/><w:r><w:rPr/><w:t xml:space="preserve">10.1 EX/II կամ EX/III տրանսպորտային միջոցի դեպքում                  □1-ին դասի բեռներ, ներառյալ J համապատասխանության խումբը</w:t></w:r></w:p><w:p><w:pPr/><w:r><w:rPr/><w:t xml:space="preserve">       In the case of EX/II or EX/III vehicle                                                      goods of Class 1 including compatibility group J</w:t></w:r></w:p><w:p><w:pPr/><w:r><w:rPr/><w:t xml:space="preserve">                                                                        □1-ին դասի բեռներ, բացառությամբ J համապատասխանության խումբը</w:t></w:r></w:p><w:p><w:pPr/><w:r><w:rPr/><w:t xml:space="preserve">                                                                                                                   goods of Class 1 excluding compatibility group J</w:t></w:r></w:p><w:p><w:pPr/><w:r><w:rPr/><w:t xml:space="preserve">10.2 Ավտոցիստեռնի/մարտկոց-տրանսպորտային  միջոցի դեպքում</w:t></w:r></w:p><w:p><w:pPr/><w:r><w:rPr/><w:t xml:space="preserve">        In the case of a tank-vehicle/battery-vehicle</w:t></w:r></w:p><w:p><w:pPr/><w:r><w:rPr/><w:t xml:space="preserve">      □կարող են փոխադրվել միայն 9-րդ կետով սահմանված ցանկացած հատուկ նշումներով և ցիստեռնի կոդի համաձայն թույլատրված նյութեր</w:t></w:r></w:p><w:p><w:pPr/><w:r><w:rPr/><w:t xml:space="preserve">         only the substances permitted under the tank code and any special provisions specified in № 9 may be carried or</w:t></w:r></w:p><w:p><w:pPr/><w:r><w:rPr/><w:t xml:space="preserve">      □կարող են փոխադրվել միայն հետևյալ նյութերը (դասը, համարը ՄԱԿ և, եթե պահանջվում է` փաթեթավորման խումբը և պատշաճ  </w:t></w:r></w:p><w:p><w:pPr/><w:r><w:rPr/><w:t xml:space="preserve">        բեռնաթափման անվանումը)</w:t></w:r></w:p><w:p><w:pPr/><w:r><w:rPr/><w:t xml:space="preserve">         only the following substances (Class, UN number, and if necessary packing group and proper and proper shipping name) may be carried</w:t></w:r></w:p><w:p><w:pPr/><w:r><w:rPr/><w:t xml:space="preserve"> </w:t></w:r></w:p><w:p><w:pPr/><w:r><w:rPr/><w:t xml:space="preserve"> </w:t></w:r></w:p><w:p><w:pPr/><w:r><w:rPr/><w:t xml:space="preserve">Կարող են փոխադրվել միայն նյութեր, որոնք ընդունակ չեն վտանգավոր փոխազդել իրանի նյութերի, միջադիրների, սարքավորումների և ներքին պաշտպանական երեսպատման հետ (եթե կիրառվել է):</w:t></w:r></w:p><w:p><w:pPr/><w:r><w:rPr/><w:t xml:space="preserve">Only substances which are not to react dangerously with the materials of the shell, gaskets, equipment and protective linings (if applicable) may be carried.</w:t></w:r></w:p></w:tc></w:tr></w:tbl><w:p><w:pPr/><w:r><w:rPr/><w:t xml:space="preserve"> </w:t></w:r></w:p><w:p><w:pPr/><w:r><w:rPr/><w:t xml:space="preserve">Դարձերես</w:t></w:r></w:p><w:p><w:pPr/><w:r><w:rPr/><w:t xml:space="preserve"> </w:t></w:r></w:p><w:tbl><w:tblGrid><w:gridCol w:w="4785" w:type="dxa"/><w:gridCol w:w="6105" w:type="dxa"/></w:tblGrid><w:tblPr><w:tblW w:w="10890" w:type="dxa"/><w:tblLayout w:type="autofit"/></w:tblPr><w:tr><w:trPr/><w:tc><w:tcPr><w:tcW w:w="10890" w:type="dxa"/><w:gridSpan w:val="2"/><w:noWrap/></w:tcPr><w:p><w:pPr/><w:r><w:rPr/><w:t xml:space="preserve">11. Դիտողություններ.</w:t></w:r></w:p><w:p><w:pPr/><w:r><w:rPr/><w:t xml:space="preserve">      Remarks: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/w:tc></w:tr><w:tr><w:trPr/><w:tc><w:tcPr><w:tcW w:w="10890" w:type="dxa"/><w:gridSpan w:val="2"/><w:noWrap/></w:tcPr><w:p><w:pPr/><w:r><w:rPr/><w:t xml:space="preserve">12. Ուժի մեջ է մինչև                                       Վկայականը տվող մարմնի կնիքը</w:t></w:r></w:p><w:p><w:pPr/><w:r><w:rPr/><w:t xml:space="preserve">      Valid until:                                                   Stamp of issuing service                                                                       </w:t></w:r></w:p><w:p><w:pPr/><w:r><w:rPr/><w:t xml:space="preserve"> </w:t></w:r></w:p><w:p><w:pPr/><w:r><w:rPr/><w:t xml:space="preserve"> </w:t></w:r></w:p><w:p><w:pPr/><w:r><w:rPr/><w:t xml:space="preserve">                                                                     Վայրը, ամսաթիվը, ստորագրությունը</w:t></w:r></w:p><w:p><w:pPr/><w:r><w:rPr/><w:t xml:space="preserve">                                                                           Place, Date, Signature</w:t></w:r></w:p><w:p><w:pPr/><w:r><w:rPr/><w:t xml:space="preserve"> </w:t></w:r></w:p><w:p><w:pPr/><w:r><w:rPr/><w:t xml:space="preserve"> </w:t></w:r></w:p><w:p><w:pPr/><w:r><w:rPr/><w:t xml:space="preserve"> </w:t></w:r></w:p></w:tc></w:tr><w:tr><w:trPr/><w:tc><w:tcPr><w:tcW w:w="10890" w:type="dxa"/><w:gridSpan w:val="2"/><w:noWrap/></w:tcPr><w:p><w:pPr/><w:r><w:rPr/><w:t xml:space="preserve">13. Գործողության ժամկետի երկարաձգում:</w:t></w:r></w:p><w:p><w:pPr/><w:r><w:rPr/><w:t xml:space="preserve">      Extensions of validity.</w:t></w:r></w:p><w:p><w:pPr/><w:r><w:rPr/><w:t xml:space="preserve"> </w:t></w:r></w:p></w:tc></w:tr><w:tr><w:trPr/><w:tc><w:tcPr><w:tcW w:w="4785" w:type="dxa"/><w:noWrap/></w:tcPr><w:p><w:pPr/><w:r><w:rPr/><w:t xml:space="preserve">Գործողության ժամկետը երկարաձգված է մինչև</w:t></w:r></w:p><w:p><w:pPr/><w:r><w:rPr/><w:t xml:space="preserve">Validity extended until: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/w:tc><w:tc><w:tcPr><w:tcW w:w="6105" w:type="dxa"/><w:noWrap/></w:tcPr><w:p><w:pPr/><w:r><w:rPr/><w:t xml:space="preserve">Վկայականը տվող մարմնի կնիքը, վայրը, ամսաթիվը, ստորագրությունը</w:t></w:r></w:p><w:p><w:pPr/><w:r><w:rPr/><w:t xml:space="preserve">Stamp of issuing service, Place, Date, Signature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/w:tc></w:tr><w:tr><w:trPr/><w:tc><w:tcPr><w:tcW w:w="10890" w:type="dxa"/><w:gridSpan w:val="2"/><w:noWrap/></w:tcPr><w:p><w:pPr/><w:r><w:rPr/><w:t xml:space="preserve"> </w:t></w:r></w:p><w:p><w:pPr/><w:r><w:rPr/><w:t xml:space="preserve">Ծանոթություն. Սույն վկայականը պետք է վերադարձվի այն տրամադրող մարմնին. տրանսպորտային միջոցի շահագործումից հետո; եթե տրանսպորտային միջոցը փոխանցվել է 5-րդ կետում նշված այլ փոխադրողի, օպերատորի կամ սեփականատիրոջ; վկայականի գործողության ժամկետի ավարտից հետո; եթե էականորեն փոխվել են տրանսպորտային միջոցի մեկ կամ մի քանի հիմնական բնութագիրներ:</w:t></w:r></w:p><w:p><w:pPr/><w:r><w:rPr/><w:t xml:space="preserve">Note: The certificate shall be returned to theissuing service when the vehicle is takan out of service; if the vehicle is transferred to another carrier, operator or owner; as specified in to № 5; on expiry of the validity of the certificate; and if there is a material change in one or more essential characteristics of the vehicle.</w:t></w:r></w:p><w:p><w:pPr/><w:r><w:rPr/><w:t xml:space="preserve"> </w:t></w:r></w:p></w:tc></w:tr></w:tbl><w:p><w:pPr/><w:r><w:rPr/><w:t xml:space="preserve"> </w:t></w:r></w:p><w:p><w:pPr/><w:r><w:rPr/><w:t xml:space="preserve">1․ Վկայականը «Վտանգավոր բեռների միջազգային ճանապարհային փոխադրումների մասին» եվրոպական համաձայնագրի (ԱԴՌ) 9․1․3-րդ կետի պահանջներին համապատասխան պետք է լինի 210 մմ x 297 մմ (A4 ձեւաչափ), հիմնագույնը՝ սպիտակ, դիմերեսին՝ վերևի աջ անկյունից դեպի ներքևի ձախ անկյուն անկյունագծով 10 մմ հաստությամբ կարմիր հոծ գիծ։</w:t></w:r></w:p><w:p><w:pPr/><w:r><w:rPr/><w:t xml:space="preserve">2․ Յուրաքանչյուր վկայական պետք է համարակալվի հերթական համարով։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Հավելված N 2</w:t></w:r><w:br/><w:r><w:rPr/><w:t xml:space="preserve"> ՀՀ կառավարության</w:t></w:r></w:p><w:p><w:pPr/><w:r><w:rPr/><w:t xml:space="preserve"><<——>>————2024թ․</w:t></w:r><w:br/><w:r><w:rPr/><w:t xml:space="preserve"> N —————-Ն որոշման</w:t></w:r><w:r><w:rPr><w:b w:val="1"/><w:bCs w:val="1"/></w:rPr><w:t xml:space="preserve"> </w:t></w:r></w:p><w:p><w:pPr/><w:r><w:rPr><w:b w:val="1"/><w:bCs w:val="1"/></w:rPr><w:t xml:space="preserve"> </w:t></w:r></w:p><w:p><w:pPr/><w:r><w:rPr/><w:t xml:space="preserve">ԿԱՐԳ</w:t></w:r></w:p><w:p><w:pPr/><w:r><w:rPr/><w:t xml:space="preserve">ՎՏԱՆԳԱՎՈՐ ԲԵՌՆԵՐ ՓՈԽԱԴՐՈՂ ՏՐԱՆՍՊՈՐՏԱՅԻՆ ՄԻՋՈՑԻ ՀԱՍՏԱՏՄԱՆ ՎԿԱՅԱԿԱՆԻ ՏՐՄԱՆ</w:t></w:r></w:p><w:p><w:pPr/><w:r><w:rPr/><w:t xml:space="preserve">1․ Սույն կարգով սահմանվում են վտանգավոր բեռներ փոխադրող տրանսպորտային միջոցի հաստատման վկայականի (այսուհետ՝ տրանսպորտային միջոցի հաստատման վկայական) տրման հետ կապված հարաբերությունները։</w:t></w:r></w:p><w:p><w:pPr/><w:r><w:rPr/><w:t xml:space="preserve">2․ Տրանսպորտային միջոցի հաստատման վկայական ստանալու համար տրանսպորտային միջոցը պետք է համապատասխանի հետևյալ պահանջներին․</w:t></w:r></w:p><w:p><w:pPr><w:numPr><w:ilvl w:val="0"/><w:numId w:val="3"/></w:numPr></w:pPr><w:r><w:rPr/><w:t xml:space="preserve">Հայաստանի Հանրապետության օրենսդրության պահանջներին համապատասխան անցած լինի տեխնիկական զննություն․</w:t></w:r></w:p><w:p><w:pPr><w:numPr><w:ilvl w:val="0"/><w:numId w:val="3"/></w:numPr></w:pPr><w:r><w:rPr/><w:t xml:space="preserve">կահավորված լինի թվային տախոգրաֆով և տեղորոշման համակարգով․</w:t></w:r></w:p><w:p><w:pPr><w:numPr><w:ilvl w:val="0"/><w:numId w:val="3"/></w:numPr></w:pPr><w:r><w:rPr/><w:t xml:space="preserve">համապատասխանի <<Անվավոր տրանսպորտային միջոցների անվտանգության մասին>> ՄՄ ՏԿ 018/2021 տեխնիկակական կանոնակարգի և ԱԴՌ համաձայնագրի 9․2-րդ գլխի պահանջներին․</w:t></w:r></w:p><w:p><w:pPr><w:numPr><w:ilvl w:val="0"/><w:numId w:val="3"/></w:numPr></w:pPr><w:r><w:rPr/><w:t xml:space="preserve">ապահովի վտանգավոր բեռներ փոխադրելու Հայաստանի Հանրապետության օրենսդրության պահանջները։</w:t></w:r></w:p><w:p><w:pPr/><w:r><w:rPr/><w:t xml:space="preserve">3․ Տրանսպորտային միջոցի վկայական ստանալու համար կարող են դիմել  իրավաբանական անձինք կամ անհատ ձեռնարկատերերը, ովքեր սեփականության, կամ վարձակալության, կամ օգտագործման իրավունքով իրենց պատկանող և Հայաստանի Հանրապետությունում հաշվառված տրանսպորտային միջոցով իրականացնում են վտանգավոր բեռի փոխադրում։</w:t></w:r></w:p><w:p><w:pPr/><w:r><w:rPr/><w:t xml:space="preserve">4․ Տրանսպորտային միջոցի հաստատման վկայական ստանալու համար տրանսպորտի բնագավառի պետական լիազոր մարմին (այսուհետ՝ լիազոր մարմին) պետք է ներկայացնել հետևյալ փաստաթղթերը՝</w:t></w:r></w:p><w:p><w:pPr><w:numPr><w:ilvl w:val="0"/><w:numId w:val="4"/></w:numPr></w:pPr><w:r><w:rPr/><w:t xml:space="preserve">դիմում․</w:t></w:r></w:p><w:p><w:pPr><w:numPr><w:ilvl w:val="0"/><w:numId w:val="4"/></w:numPr></w:pPr><w:r><w:rPr/><w:t xml:space="preserve">տրանսպորտային միջոցի տեխնիկական անձնագիրը․</w:t></w:r></w:p><w:p><w:pPr><w:numPr><w:ilvl w:val="0"/><w:numId w:val="4"/></w:numPr></w:pPr><w:r><w:rPr/><w:t xml:space="preserve">իրավաբանական անձի կամ անհատ ձեռնակատիրոջ պետական ռեգիստրի վկայականի պատճենը․</w:t></w:r></w:p><w:p><w:pPr><w:numPr><w:ilvl w:val="0"/><w:numId w:val="4"/></w:numPr></w:pPr><w:r><w:rPr/><w:t xml:space="preserve">տրանսպորտային միջոցի վարձակալության կամ օգտագործման իրավունքը հաստատող փաստաթղթի պատճենը․</w:t></w:r></w:p><w:p><w:pPr><w:numPr><w:ilvl w:val="0"/><w:numId w:val="4"/></w:numPr></w:pPr><w:r><w:rPr/><w:t xml:space="preserve"><<Պետական տուրքի մասին>> օրենքով նախատեսված պետական տուրքի վճարման անդորրագիրը․</w:t></w:r></w:p><w:p><w:pPr><w:numPr><w:ilvl w:val="0"/><w:numId w:val="4"/></w:numPr></w:pPr><w:r><w:rPr/><w:t xml:space="preserve">վտանգավոր բեռի ցիստեռնով փոխադրման դեպքում՝ ցիստեռնի տիպի հաստատման վկայականը և ցիստեռնի փորձաքննություն անցած լինելը հաստատող փաստաթուղթը։</w:t></w:r></w:p><w:p><w:pPr/><w:r><w:rPr/><w:t xml:space="preserve">5․ Տրանսպորտային միջոցի հաստատման վկայականը տրվում է մեկ տարի ժամկետով։</w:t></w:r></w:p><w:p><w:pPr/><w:r><w:rPr/><w:t xml:space="preserve">6․ Տրանսպորտային միջոցի հաստատման վկայականի ժամկետը լրանալուց հետո կարող է երկարաձգվել ևս մեկ տարի ժամկետով՝ վերջինս դարձերեսին կատարելով համապատասխան նշում, եթե Հայաստանի Հանրապետության օրենսդրության պահանջներին համապատասխան այն անցել է տեխնիկական զննություն և ներկայացվել է «Պետական տուրքի մասին» օրենքով նախատեսված պետական տուրքի վճարման անդորրագիրը։</w:t></w:r></w:p><w:p><w:pPr><w:numPr><w:ilvl w:val="0"/><w:numId w:val="5"/></w:numPr></w:pPr><w:r><w:rPr/><w:t xml:space="preserve">Տրանսպորտային միջոցի հաստատման վկայականը տրվում է 3 աշխատանքային օրվա ընթացքում։</w:t></w:r></w:p><w:p><w:pPr/><w:r><w:rPr/><w:t xml:space="preserve">8․ Տրանսպորտային միջոցի հաստատման վկայականի տրամադրումը մերժվում է, եթե չեն ներկայացվել սույն կարգի 4-րդ կետում սահմանված փաստաթղթերն ամբողջովին կամ տրանսպորտային միջոցը Հայաստանի Հանրապետության օրենսդրությամբ սամանված կարգով չի անցել տեխնիկական զննություն։ Մերժման վերաբերյալ 3 աշխատանքային օրվա ընթացքում գրավոր տեղեկացվում է դիմումատուին՝ նշելով մերժման պատճառը։</w:t></w:r></w:p><w:p><w:pPr/><w:r><w:rPr/><w:t xml:space="preserve">9․ Լիազոր մարմինը վարում է տրանսպորտային միջոցի հաստատման վկայականի տրամադրման գրանցամատյան՝ համաձայն ձև 1-ի։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Ձև 1</w:t></w:r></w:p><w:p><w:pPr/><w:r><w:rPr/><w:t xml:space="preserve">ԳՐԱՆՑԱՄԱՏՅԱՆ</w:t></w:r></w:p><w:p><w:pPr/><w:r><w:rPr/><w:t xml:space="preserve">ՎՏԱՆԳԱՎՈՐ ԲԵՌՆԵՐ ՓՈԽԱԴՐՈՂ ՏՐԱՆՍՊՈՐՏԱՅԻՆ ՄԻՋՈՑՆԵՐԻ ՎԿԱՅԱԿԱՆՆԵՐԻ</w:t></w:r></w:p><w:tbl><w:tblGrid><w:gridCol w:w="600" w:type="dxa"/><w:gridCol w:w="1545" w:type="dxa"/><w:gridCol w:w="1425" w:type="dxa"/><w:gridCol w:w="1215" w:type="dxa"/><w:gridCol w:w="1695" w:type="dxa"/><w:gridCol w:w="1080" w:type="dxa"/><w:gridCol w:w="1455" w:type="dxa"/><w:gridCol w:w="1080" w:type="dxa"/></w:tblGrid><w:tblPr><w:tblW w:w="0" w:type="auto"/><w:tblLayout w:type="autofit"/></w:tblPr><w:tr><w:trPr/><w:tc><w:tcPr><w:tcW w:w="600" w:type="dxa"/><w:noWrap/></w:tcPr><w:p><w:pPr/><w:r><w:rPr/><w:t xml:space="preserve">Հ/Հ</w:t></w:r></w:p></w:tc><w:tc><w:tcPr><w:tcW w:w="1545" w:type="dxa"/><w:noWrap/></w:tcPr><w:p><w:pPr/><w:r><w:rPr/><w:t xml:space="preserve">Վկայականի համարը</w:t></w:r></w:p></w:tc><w:tc><w:tcPr><w:tcW w:w="1425" w:type="dxa"/><w:noWrap/></w:tcPr><w:p><w:pPr/><w:r><w:rPr/><w:t xml:space="preserve">Տրման ամսաթիվը</w:t></w:r></w:p></w:tc><w:tc><w:tcPr><w:tcW w:w="3990" w:type="dxa"/><w:gridSpan w:val="3"/><w:noWrap/></w:tcPr><w:p><w:pPr/><w:r><w:rPr/><w:t xml:space="preserve">Տրանսպորտային միջոցի</w:t></w:r></w:p></w:tc><w:tc><w:tcPr><w:tcW w:w="2550" w:type="dxa"/><w:gridSpan w:val="2"/><w:noWrap/></w:tcPr><w:p><w:pPr/><w:r><w:rPr/><w:t xml:space="preserve">Փոխադրող կազմակերպության</w:t></w:r></w:p></w:tc></w:tr><w:tr><w:trPr/><w:tc><w:tcPr><w:tcW w:w="1215" w:type="dxa"/><w:noWrap/></w:tcPr><w:p><w:pPr/><w:r><w:rPr/><w:t xml:space="preserve">Մակնիշը</w:t></w:r></w:p></w:tc><w:tc><w:tcPr><w:tcW w:w="1695" w:type="dxa"/><w:noWrap/></w:tcPr><w:p><w:pPr/><w:r><w:rPr/><w:t xml:space="preserve">Հաշվառման համարանիշը</w:t></w:r></w:p></w:tc><w:tc><w:tcPr><w:tcW w:w="1080" w:type="dxa"/><w:noWrap/></w:tcPr><w:p><w:pPr/><w:r><w:rPr/><w:t xml:space="preserve">Տեսակը</w:t></w:r></w:p></w:tc><w:tc><w:tcPr><w:tcW w:w="1455" w:type="dxa"/><w:noWrap/></w:tcPr><w:p><w:pPr/><w:r><w:rPr/><w:t xml:space="preserve">Անվանումը</w:t></w:r></w:p></w:tc><w:tc><w:tcPr><w:tcW w:w="1080" w:type="dxa"/><w:noWrap/></w:tcPr><w:p><w:pPr/><w:r><w:rPr/><w:t xml:space="preserve">Հասցեն</w:t></w:r></w:p></w:tc></w:tr><w:tr><w:trPr/><w:tc><w:tcPr><w:tcW w:w="600" w:type="dxa"/><w:noWrap/></w:tcPr><w:p><w:pPr/><w:r><w:rPr/><w:t xml:space="preserve">1</w:t></w:r></w:p></w:tc><w:tc><w:tcPr><w:tcW w:w="1545" w:type="dxa"/><w:noWrap/></w:tcPr><w:p><w:pPr/><w:r><w:rPr/><w:t xml:space="preserve">2</w:t></w:r></w:p></w:tc><w:tc><w:tcPr><w:tcW w:w="1425" w:type="dxa"/><w:noWrap/></w:tcPr><w:p><w:pPr/><w:r><w:rPr/><w:t xml:space="preserve">3</w:t></w:r></w:p></w:tc><w:tc><w:tcPr><w:tcW w:w="1215" w:type="dxa"/><w:noWrap/></w:tcPr><w:p><w:pPr/><w:r><w:rPr/><w:t xml:space="preserve">4</w:t></w:r></w:p></w:tc><w:tc><w:tcPr><w:tcW w:w="1695" w:type="dxa"/><w:noWrap/></w:tcPr><w:p><w:pPr/><w:r><w:rPr/><w:t xml:space="preserve">5</w:t></w:r></w:p></w:tc><w:tc><w:tcPr><w:tcW w:w="1080" w:type="dxa"/><w:noWrap/></w:tcPr><w:p><w:pPr/><w:r><w:rPr/><w:t xml:space="preserve">6</w:t></w:r></w:p></w:tc><w:tc><w:tcPr><w:tcW w:w="1455" w:type="dxa"/><w:noWrap/></w:tcPr><w:p><w:pPr/><w:r><w:rPr/><w:t xml:space="preserve">7</w:t></w:r></w:p></w:tc><w:tc><w:tcPr><w:tcW w:w="1080" w:type="dxa"/><w:noWrap/></w:tcPr><w:p><w:pPr/><w:r><w:rPr/><w:t xml:space="preserve">8</w:t></w:r></w:p></w:tc></w:tr><w:tr><w:trPr/><w:tc><w:tcPr><w:tcW w:w="600" w:type="dxa"/><w:noWrap/></w:tcPr><w:p><w:pPr/><w:r><w:rPr/><w:t xml:space="preserve"> </w:t></w:r></w:p></w:tc><w:tc><w:tcPr><w:tcW w:w="1545" w:type="dxa"/><w:noWrap/></w:tcPr><w:p><w:pPr/><w:r><w:rPr/><w:t xml:space="preserve"> </w:t></w:r></w:p></w:tc><w:tc><w:tcPr><w:tcW w:w="1425" w:type="dxa"/><w:noWrap/></w:tcPr><w:p><w:pPr/><w:r><w:rPr/><w:t xml:space="preserve"> </w:t></w:r></w:p></w:tc><w:tc><w:tcPr><w:tcW w:w="1215" w:type="dxa"/><w:noWrap/></w:tcPr><w:p><w:pPr/><w:r><w:rPr/><w:t xml:space="preserve"> </w:t></w:r></w:p></w:tc><w:tc><w:tcPr><w:tcW w:w="1695" w:type="dxa"/><w:noWrap/></w:tcPr><w:p><w:pPr/><w:r><w:rPr/><w:t xml:space="preserve"> </w:t></w:r></w:p></w:tc><w:tc><w:tcPr><w:tcW w:w="1080" w:type="dxa"/><w:noWrap/></w:tcPr><w:p><w:pPr/><w:r><w:rPr/><w:t xml:space="preserve"> </w:t></w:r></w:p></w:tc><w:tc><w:tcPr><w:tcW w:w="1455" w:type="dxa"/><w:noWrap/></w:tcPr><w:p><w:pPr/><w:r><w:rPr/><w:t xml:space="preserve"> </w:t></w:r></w:p></w:tc><w:tc><w:tcPr><w:tcW w:w="1080" w:type="dxa"/><w:noWrap/></w:tcPr><w:p><w:pPr/><w:r><w:rPr/><w:t xml:space="preserve"> </w:t></w:r></w:p></w:tc></w:tr></w:tbl><w:p><w:pPr/><w:r><w:rPr/><w:t xml:space="preserve"> </w:t></w:r></w:p><w:p><w:pPr/><w:r><w:rPr/><w:t xml:space="preserve">Հայաստանի Հանրապետության վարչապետի</w:t></w:r></w:p><w:p><w:pPr/><w:r><w:rPr/><w:t xml:space="preserve">աշխատակազմի ղեկավար                                               Ա. Հարությունյան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22C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2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C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3734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2026-04-04T01:42:20+04:00</dcterms:created>
  <dcterms:modified xsi:type="dcterms:W3CDTF">2026-04-04T01:42:20+04:00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