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«Արտաքին տնտեսական գործունեության ապրանքային անվանացանկ» (ԱՏԳ ԱԱ) դասակարգչի 1901, 1902, 1903 00 000 0, 1904, 2209 00  ծածկագրերին դասվող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2024 թվականի N _____-Լ</w:t>
      </w:r>
    </w:p>
    <w:p>
      <w:pPr>
        <w:jc w:val="center"/>
      </w:pPr>
      <w:r>
        <w:rPr/>
        <w:t xml:space="preserve"> </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1901, 1902, 1903 00 000 0, 1904, 2209 00 ԾԱԾԿԱԳՐԵՐԻՆ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153-րդ հոդվածի 3-րդ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Հաստատել Հայաստանի Հանրապետությունում «Արտաքին տնտեսական գործունեության ապրանքային անվանացանկ» (ԱՏԳ ԱԱ) դասակարգչի 1901, 1902, 1903 00 000 0, 1904, 2209 00 ծածկագրերին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  </w:t>
      </w:r>
    </w:p>
    <w:p>
      <w:pPr/>
      <w:r>
        <w:rPr/>
        <w:t xml:space="preserve">2) ծրագիրը և ծրագրի արդյունքների գնահատումն իրականացվում են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կողմից՝ ԱՏԳ ԱԱ 1901, 1902, 1903 00 000 0, 1904, 2209 00 ծածկագրերին դասվող ապրանքախմբերի համար՝ սույն որոշումն ուժի մեջ մտնելու օրվանից մինչև այդ օրը ներառող ամսվան հաջորդող երրորդ ամսվա 1-ը,</w:t>
      </w:r>
    </w:p>
    <w:p>
      <w:pPr/>
      <w:r>
        <w:rPr/>
        <w:t xml:space="preserve">3) Հայաստանի Հանրապետության պետական եկամուտների կոմիտեն սույն կետի 2-րդ ենթակետով սահմանված ժամկետի ավարտի օրվան հաջորդող մեկամսյա ժամկետում Հայաստանի Հանրապետության վարչապետի աշխատակազմ է ներկայացնում ծրագրի գնահատման արդյունքները։</w:t>
      </w:r>
    </w:p>
    <w:p>
      <w:pPr/>
      <w:r>
        <w:rPr/>
        <w:t xml:space="preserve"> </w:t>
      </w:r>
    </w:p>
    <w:p>
      <w:pPr>
        <w:jc w:val="end"/>
      </w:pPr>
      <w:r>
        <w:rPr>
          <w:b w:val="1"/>
          <w:bCs w:val="1"/>
        </w:rPr>
        <w:t xml:space="preserve">Հավելված</w:t>
      </w:r>
    </w:p>
    <w:p>
      <w:pPr>
        <w:jc w:val="end"/>
      </w:pPr>
      <w:r>
        <w:rPr>
          <w:b w:val="1"/>
          <w:bCs w:val="1"/>
        </w:rPr>
        <w:t xml:space="preserve">ՀՀ կառավարության 2024 թվականի</w:t>
      </w:r>
    </w:p>
    <w:p>
      <w:pPr>
        <w:jc w:val="end"/>
      </w:pPr>
      <w:r>
        <w:rPr>
          <w:b w:val="1"/>
          <w:bCs w:val="1"/>
        </w:rPr>
        <w:t xml:space="preserve">____________ ____-ի N____-Լ որոշման</w:t>
      </w:r>
    </w:p>
    <w:p>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 (ԱՏԳ ԱԱ) ԴԱՍԱԿԱՐԳՉԻ </w:t>
      </w:r>
      <w:r>
        <w:rPr>
          <w:b w:val="1"/>
          <w:bCs w:val="1"/>
        </w:rPr>
        <w:t xml:space="preserve">1901, 1902, 1903 00 000 0, 1904, 2209 00 ԾԱԾԿԱԳՐԵՐԻՆ</w:t>
      </w:r>
      <w:r>
        <w:rPr>
          <w:b w:val="1"/>
          <w:bCs w:val="1"/>
        </w:rPr>
        <w:t xml:space="preserve"> ԴԱՍՎՈՂ ԱՊՐԱՆՔՆԵՐԻ ԴՐՈՇՄԱՎՈՐՄԱՆ</w:t>
      </w:r>
    </w:p>
    <w:p>
      <w:pPr/>
      <w:r>
        <w:rPr>
          <w:b w:val="1"/>
          <w:bCs w:val="1"/>
        </w:rPr>
        <w:t xml:space="preserve"> </w:t>
      </w:r>
    </w:p>
    <w:p>
      <w:pPr>
        <w:numPr>
          <w:ilvl w:val="0"/>
          <w:numId w:val="3"/>
        </w:numPr>
      </w:pPr>
      <w:r>
        <w:rPr>
          <w:b w:val="1"/>
          <w:bCs w:val="1"/>
        </w:rPr>
        <w:t xml:space="preserve"> ՆԵՐԱԾՈՒԹՅՈՒՆ</w:t>
      </w:r>
    </w:p>
    <w:p>
      <w:pPr/>
      <w:r>
        <w:rPr>
          <w:b w:val="1"/>
          <w:bCs w:val="1"/>
        </w:rPr>
        <w:t xml:space="preserve"> </w:t>
      </w:r>
    </w:p>
    <w:p>
      <w:pPr>
        <w:numPr>
          <w:ilvl w:val="0"/>
          <w:numId w:val="4"/>
        </w:numPr>
      </w:pPr>
      <w:r>
        <w:rPr/>
        <w:t xml:space="preserve">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Ջի2Բի և Բի2Բի (G2B և B2B) թվային ծառայությունների զարգացմանը։</w:t>
      </w:r>
    </w:p>
    <w:p>
      <w:pPr/>
      <w:r>
        <w:rPr/>
        <w:t xml:space="preserve"> </w:t>
      </w:r>
    </w:p>
    <w:p>
      <w:pPr>
        <w:numPr>
          <w:ilvl w:val="0"/>
          <w:numId w:val="5"/>
        </w:numPr>
      </w:pPr>
      <w:r>
        <w:rPr>
          <w:b w:val="1"/>
          <w:bCs w:val="1"/>
        </w:rPr>
        <w:t xml:space="preserve"> ԾՐԱԳՐԻ ԻՐԱԿԱՆԱՑՄԱՆ ԱՆՀՐԱԺԵՇՏՈՒԹՅՈՒՆԸ</w:t>
      </w:r>
    </w:p>
    <w:p>
      <w:pPr/>
      <w:r>
        <w:rPr/>
        <w:t xml:space="preserve"> </w:t>
      </w:r>
    </w:p>
    <w:p>
      <w:pPr>
        <w:numPr>
          <w:ilvl w:val="0"/>
          <w:numId w:val="6"/>
        </w:numPr>
      </w:pPr>
      <w:r>
        <w:rPr/>
        <w:t xml:space="preserve">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numPr>
          <w:ilvl w:val="0"/>
          <w:numId w:val="6"/>
        </w:numPr>
      </w:pPr>
      <w:r>
        <w:rPr/>
        <w:t xml:space="preserve">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numPr>
          <w:ilvl w:val="0"/>
          <w:numId w:val="7"/>
        </w:numPr>
      </w:pPr>
      <w:r>
        <w:rPr>
          <w:b w:val="1"/>
          <w:bCs w:val="1"/>
        </w:rPr>
        <w:t xml:space="preserve"> ԾՐԱԳՐԻ ՀԻՄՆԱԿԱՆ ՆՊԱՏԱԿՆ ՈՒ ԽՆԴԻՐՆԵՐԸ</w:t>
      </w:r>
    </w:p>
    <w:p>
      <w:pPr/>
      <w:r>
        <w:rPr/>
        <w:t xml:space="preserve"> </w:t>
      </w:r>
    </w:p>
    <w:p>
      <w:pPr>
        <w:numPr>
          <w:ilvl w:val="0"/>
          <w:numId w:val="8"/>
        </w:numPr>
      </w:pPr>
      <w:r>
        <w:rPr/>
        <w:t xml:space="preserve">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ճշգրիտ և իրատեսական պատկեր և խոչընդոտել անորակ և կեղծ ապրանքների տարածումը, ինչը լուրջ խնդիր է ինչպես սպառողների, այնպես էլ արտադրողների համար։</w:t>
      </w:r>
    </w:p>
    <w:p>
      <w:pPr>
        <w:numPr>
          <w:ilvl w:val="0"/>
          <w:numId w:val="8"/>
        </w:numPr>
      </w:pPr>
      <w:r>
        <w:rPr/>
        <w:t xml:space="preserve">Ներկայումս առկա խնդիրներն են՝</w:t>
      </w:r>
    </w:p>
    <w:p>
      <w:pPr>
        <w:numPr>
          <w:ilvl w:val="0"/>
          <w:numId w:val="9"/>
        </w:numPr>
      </w:pPr>
      <w:r>
        <w:rPr/>
        <w:t xml:space="preserve">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numPr>
          <w:ilvl w:val="0"/>
          <w:numId w:val="9"/>
        </w:numPr>
      </w:pPr>
      <w:r>
        <w:rPr/>
        <w:t xml:space="preserve">չի ապահովվում ապրանքների շրջանառության ամբողջ շղթայի լիարժեք հետագծելիությունը,</w:t>
      </w:r>
    </w:p>
    <w:p>
      <w:pPr>
        <w:numPr>
          <w:ilvl w:val="0"/>
          <w:numId w:val="9"/>
        </w:numPr>
      </w:pPr>
      <w:r>
        <w:rPr/>
        <w:t xml:space="preserve">ԵԱՏՄ անդամ պետություններ արտահանողների համար գործող դրոշմապիտակները չեն կարող օգտագործվել։ Այս դեպքում անհրաժեշտություն է առաջանում դրոշմավորել արտահանվող ապրանքները ԵԱՏՄ օրենսդրության համաձայն, և կարող է տեղի ունենալ կրկնակի դրոշմավորում, եթե արտադրության ժամանակ չի առանձնացվում արտահանման համար նախատեսված ապրանքը, որը ևս լրացուցիչ դժվարություն է հարկ վճարողի համար,</w:t>
      </w:r>
    </w:p>
    <w:p>
      <w:pPr>
        <w:numPr>
          <w:ilvl w:val="0"/>
          <w:numId w:val="9"/>
        </w:numPr>
      </w:pPr>
      <w:r>
        <w:rPr/>
        <w:t xml:space="preserve">ներկայիս դրոշմապիտակների վրա առկա 2D կոդի գեներացիայի տրամաբանությունը պատկանում է մասնավոր ընկերության և չի փոխանցվում ՊԵԿ։ Այդ իսկ պատճառով ՊԵԿ-ը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numPr>
          <w:ilvl w:val="0"/>
          <w:numId w:val="10"/>
        </w:numPr>
      </w:pPr>
      <w:r>
        <w:rPr/>
        <w:t xml:space="preserve">Ծրագրի իրագործմամբ առաջադրվում են մի շարք նպատակներ․</w:t>
      </w:r>
    </w:p>
    <w:p>
      <w:pPr/>
      <w:r>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Ջի2Բի և Բի2Բի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numPr>
          <w:ilvl w:val="0"/>
          <w:numId w:val="11"/>
        </w:numPr>
      </w:pPr>
      <w:r>
        <w:rPr>
          <w:b w:val="1"/>
          <w:bCs w:val="1"/>
        </w:rPr>
        <w:t xml:space="preserve"> ԾՐԱԳՐԻ ՆԿԱՐԱԳԻՐԸ</w:t>
      </w:r>
    </w:p>
    <w:p>
      <w:pPr/>
      <w:r>
        <w:rPr/>
        <w:t xml:space="preserve"> </w:t>
      </w:r>
    </w:p>
    <w:p>
      <w:pPr>
        <w:numPr>
          <w:ilvl w:val="0"/>
          <w:numId w:val="12"/>
        </w:numPr>
      </w:pPr>
      <w:r>
        <w:rPr/>
        <w:t xml:space="preserve">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numPr>
          <w:ilvl w:val="0"/>
          <w:numId w:val="12"/>
        </w:numPr>
      </w:pPr>
      <w:r>
        <w:rPr/>
        <w:t xml:space="preserve">Տվյալ ծրագիրը ՀՀ-ում Ապրանքների դրոշմավորման ավտոմատացված տեղեկատվական համակարգի (ԱԴԱՏՀ) արդիականացում է, որը կապահովի տվյալ որոշումով նախատեսվող ապրանքների շրջանառության հետագծելիությունը շրջանառության բոլոր փուլերում։</w:t>
      </w:r>
    </w:p>
    <w:p>
      <w:pPr>
        <w:numPr>
          <w:ilvl w:val="0"/>
          <w:numId w:val="12"/>
        </w:numPr>
      </w:pPr>
      <w:r>
        <w:rPr/>
        <w:t xml:space="preserve">Ծրագրի իրականացման հիմք են հանդիսացել՝</w:t>
      </w:r>
    </w:p>
    <w:p>
      <w:pPr>
        <w:numPr>
          <w:ilvl w:val="0"/>
          <w:numId w:val="13"/>
        </w:numPr>
      </w:pPr>
      <w:r>
        <w:rPr/>
        <w:t xml:space="preserve">«Եվրասիական տնտեսական միությունում նույնականացման միջոցներով ապրանքների դրոշմավորման մասին» Համաձայնագիր՝ ստորագրված 2018 թվականի փետրվարի 2-ին,</w:t>
      </w:r>
    </w:p>
    <w:p>
      <w:pPr>
        <w:numPr>
          <w:ilvl w:val="0"/>
          <w:numId w:val="13"/>
        </w:numPr>
      </w:pPr>
      <w:r>
        <w:rPr/>
        <w:t xml:space="preserve">Եվրասիական տնտեսական հանձնաժողովի խորհրդի 2021 թվականի մարտի 5-ի №19 որոշումը «Եվրասիական տնտեսական միությունում նույնականացման միջոցներով ապրանքների դրոշմավորման համակարգի բազային տեխնոլոգիական կազմակերպական մոդելի մասին»:</w:t>
      </w:r>
    </w:p>
    <w:p>
      <w:pPr>
        <w:numPr>
          <w:ilvl w:val="0"/>
          <w:numId w:val="14"/>
        </w:numPr>
      </w:pPr>
      <w:r>
        <w:rPr/>
        <w:t xml:space="preserve">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numPr>
          <w:ilvl w:val="0"/>
          <w:numId w:val="14"/>
        </w:numPr>
      </w:pPr>
      <w:r>
        <w:rPr/>
        <w:t xml:space="preserve">Ապրանքների դրոշմավորումը իրականացվելու է ապրանքի հատուկ տվյալների մատրիցային Data Matrix կոդով մակնշման միջոցով։ Թվային դրոշմավորման ծածկագիրը չկեղծվող է, ունիկալ և չկրկնվող ապրանքների յուրաքանչյուր միավորի համար։ Դրոշմավորման ծածկագրերը արտադրողներին և ներմուծողներին տրամադրելու է Հայաստանի Հանրապետության կառավարության 2022 թվականի մարտի 10-ի N 312-Լ որոշմամբ սահմանված՝ Եվրասիական տնտեսական միության շրջանակներում նույնականացման միջոցներով ապրանքների դրոշմավորման ազգային օպերատորը (այսուհետ՝ ազգային օպերատոր)՝ թվային եղանակով։</w:t>
      </w:r>
    </w:p>
    <w:p>
      <w:pPr>
        <w:numPr>
          <w:ilvl w:val="0"/>
          <w:numId w:val="14"/>
        </w:numPr>
      </w:pPr>
      <w:r>
        <w:rPr/>
        <w:t xml:space="preserve">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numPr>
          <w:ilvl w:val="0"/>
          <w:numId w:val="14"/>
        </w:numPr>
      </w:pPr>
      <w:r>
        <w:rPr/>
        <w:t xml:space="preserve">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numPr>
          <w:ilvl w:val="0"/>
          <w:numId w:val="14"/>
        </w:numPr>
      </w:pPr>
      <w:r>
        <w:rPr/>
        <w:t xml:space="preserve">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numPr>
          <w:ilvl w:val="0"/>
          <w:numId w:val="14"/>
        </w:numPr>
      </w:pPr>
      <w:r>
        <w:rPr/>
        <w:t xml:space="preserve">Ապրանքների դրոշմավորման ավտոմատացված տեղեկատվական համակարգը ինտեգրվելու է հետևյալ էլեկտրոնային համակարգերին.</w:t>
      </w:r>
    </w:p>
    <w:p>
      <w:pPr>
        <w:numPr>
          <w:ilvl w:val="0"/>
          <w:numId w:val="15"/>
        </w:numPr>
      </w:pPr>
      <w:r>
        <w:rPr/>
        <w:t xml:space="preserve">ՊԵԿ-ի տեղեկատվական համակարգ,</w:t>
      </w:r>
    </w:p>
    <w:p>
      <w:pPr>
        <w:numPr>
          <w:ilvl w:val="0"/>
          <w:numId w:val="15"/>
        </w:numPr>
      </w:pPr>
      <w:r>
        <w:rPr/>
        <w:t xml:space="preserve">Էլեկտրոնային կառավարման ենթակառուցվածքների ներդրման գրասենյակի (ԷԿԵՆԳ) տեղեկատվական համակարգ,</w:t>
      </w:r>
    </w:p>
    <w:p>
      <w:pPr>
        <w:numPr>
          <w:ilvl w:val="0"/>
          <w:numId w:val="15"/>
        </w:numPr>
      </w:pPr>
      <w:r>
        <w:rPr/>
        <w:t xml:space="preserve">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ՀՀ կառավարության սահմանած կարգով:</w:t>
      </w:r>
    </w:p>
    <w:p>
      <w:pPr>
        <w:numPr>
          <w:ilvl w:val="0"/>
          <w:numId w:val="16"/>
        </w:numPr>
      </w:pPr>
      <w:r>
        <w:rPr/>
        <w:t xml:space="preserve">Փորձնական ծրագրի ընթացքը հնարավորություն կընձեռի իրականացնելու՝</w:t>
      </w:r>
    </w:p>
    <w:p>
      <w:pPr>
        <w:numPr>
          <w:ilvl w:val="0"/>
          <w:numId w:val="17"/>
        </w:numPr>
      </w:pPr>
      <w:r>
        <w:rPr/>
        <w:t xml:space="preserve">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p>
    <w:p>
      <w:pPr>
        <w:numPr>
          <w:ilvl w:val="0"/>
          <w:numId w:val="17"/>
        </w:numPr>
      </w:pPr>
      <w:r>
        <w:rPr/>
        <w:t xml:space="preserve">ծրագրի մասնակիցների արդյունավետ փոխգործակցության կազմակերպումը,</w:t>
      </w:r>
    </w:p>
    <w:p>
      <w:pPr>
        <w:numPr>
          <w:ilvl w:val="0"/>
          <w:numId w:val="17"/>
        </w:numPr>
      </w:pPr>
      <w:r>
        <w:rPr/>
        <w:t xml:space="preserve">ծրագրի մասնակիցների տեղեկատվական համակարգերի ինտեգրումը և փորձարկումը օպերատորի տեղեկատվական համակարգի հետ,</w:t>
      </w:r>
    </w:p>
    <w:p>
      <w:pPr>
        <w:numPr>
          <w:ilvl w:val="0"/>
          <w:numId w:val="17"/>
        </w:numPr>
      </w:pPr>
      <w:r>
        <w:rPr/>
        <w:t xml:space="preserve">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numPr>
          <w:ilvl w:val="0"/>
          <w:numId w:val="18"/>
        </w:numPr>
      </w:pPr>
      <w:r>
        <w:rPr>
          <w:b w:val="1"/>
          <w:bCs w:val="1"/>
        </w:rPr>
        <w:t xml:space="preserve"> ԾՐԱԳՐԻ ՄԱՍՆԱԿԻՑՆԵՐԸ ԵՎ ԿՈՂՄԵՐԻ ՊԱՏԱՍԽԱՆԱՏՎՈՒԹՅՈՒՆՆԵՐԸ</w:t>
      </w:r>
    </w:p>
    <w:p>
      <w:pPr/>
      <w:r>
        <w:rPr/>
        <w:t xml:space="preserve"> </w:t>
      </w:r>
    </w:p>
    <w:p>
      <w:pPr>
        <w:numPr>
          <w:ilvl w:val="0"/>
          <w:numId w:val="19"/>
        </w:numPr>
      </w:pPr>
      <w:r>
        <w:rPr/>
        <w:t xml:space="preserve">Ծրագրի մասնակիցներն են հանդիսանում․</w:t>
      </w:r>
    </w:p>
    <w:p>
      <w:pPr>
        <w:numPr>
          <w:ilvl w:val="0"/>
          <w:numId w:val="20"/>
        </w:numPr>
      </w:pPr>
      <w:r>
        <w:rPr/>
        <w:t xml:space="preserve">ՊԵԿ-ը և այլ պետական մարմինները, որոնք լիազորված են ծրագիրն իրականացնելու համար,</w:t>
      </w:r>
    </w:p>
    <w:p>
      <w:pPr>
        <w:numPr>
          <w:ilvl w:val="0"/>
          <w:numId w:val="20"/>
        </w:numPr>
      </w:pPr>
      <w:r>
        <w:rPr/>
        <w:t xml:space="preserve">ապրանքաշրջանառության մասնակիցներ,</w:t>
      </w:r>
    </w:p>
    <w:p>
      <w:pPr>
        <w:numPr>
          <w:ilvl w:val="0"/>
          <w:numId w:val="20"/>
        </w:numPr>
      </w:pPr>
      <w:r>
        <w:rPr/>
        <w:t xml:space="preserve">տեղեկատվական համակարգի օպերատորը։</w:t>
      </w:r>
    </w:p>
    <w:p>
      <w:pPr>
        <w:numPr>
          <w:ilvl w:val="0"/>
          <w:numId w:val="21"/>
        </w:numPr>
      </w:pPr>
      <w:r>
        <w:rPr/>
        <w:t xml:space="preserve">Ապրանքաշրջանառության մասնակիցները փորձնական ծրագրին մասնակցում են կամավոր հիմունքներով:</w:t>
      </w:r>
    </w:p>
    <w:p>
      <w:pPr>
        <w:numPr>
          <w:ilvl w:val="0"/>
          <w:numId w:val="21"/>
        </w:numPr>
      </w:pPr>
      <w:r>
        <w:rPr/>
        <w:t xml:space="preserve">Ծրագրի իրականացման լիազորված մարմինը ՊԵԿ-ն է, որը կապահովի՝</w:t>
      </w:r>
    </w:p>
    <w:p>
      <w:pPr>
        <w:numPr>
          <w:ilvl w:val="0"/>
          <w:numId w:val="22"/>
        </w:numPr>
      </w:pPr>
      <w:r>
        <w:rPr/>
        <w:t xml:space="preserve">ազգային օպերատորի հետ աշխատանքների համակարգումը,</w:t>
      </w:r>
    </w:p>
    <w:p>
      <w:pPr>
        <w:numPr>
          <w:ilvl w:val="0"/>
          <w:numId w:val="22"/>
        </w:numPr>
      </w:pPr>
      <w:r>
        <w:rPr/>
        <w:t xml:space="preserve">ազգային օպերատորի հետ համատեղ փորձնական ծրագրի պլանի, ժամանակացույցի և մեթոդական առաջարկությունների մշակումը և հաստատումը,</w:t>
      </w:r>
    </w:p>
    <w:p>
      <w:pPr>
        <w:numPr>
          <w:ilvl w:val="0"/>
          <w:numId w:val="22"/>
        </w:numPr>
      </w:pPr>
      <w:r>
        <w:rPr/>
        <w:t xml:space="preserve">փորձնական ծրագրի արդյունքների գնահատումը և ներկայացում ՀՀ կառավարությանը:</w:t>
      </w:r>
    </w:p>
    <w:p>
      <w:pPr>
        <w:numPr>
          <w:ilvl w:val="0"/>
          <w:numId w:val="23"/>
        </w:numPr>
      </w:pPr>
      <w:r>
        <w:rPr/>
        <w:t xml:space="preserve">Ազգային օպերատորը կապահովի․</w:t>
      </w:r>
    </w:p>
    <w:p>
      <w:pPr>
        <w:numPr>
          <w:ilvl w:val="0"/>
          <w:numId w:val="24"/>
        </w:numPr>
      </w:pPr>
      <w:r>
        <w:rPr/>
        <w:t xml:space="preserve">տեղեկատվական համակարգի պահանջների մշակումը,</w:t>
      </w:r>
    </w:p>
    <w:p>
      <w:pPr>
        <w:numPr>
          <w:ilvl w:val="0"/>
          <w:numId w:val="24"/>
        </w:numPr>
      </w:pPr>
      <w:r>
        <w:rPr/>
        <w:t xml:space="preserve">համակարգի տեղեկատվական անվտանգության պահանջների մշակումը,</w:t>
      </w:r>
    </w:p>
    <w:p>
      <w:pPr>
        <w:numPr>
          <w:ilvl w:val="0"/>
          <w:numId w:val="24"/>
        </w:numPr>
      </w:pPr>
      <w:r>
        <w:rPr/>
        <w:t xml:space="preserve">տեղեկատվական համակարգի ներդրումը և շահագործումը,</w:t>
      </w:r>
    </w:p>
    <w:p>
      <w:pPr>
        <w:numPr>
          <w:ilvl w:val="0"/>
          <w:numId w:val="24"/>
        </w:numPr>
      </w:pPr>
      <w:r>
        <w:rPr/>
        <w:t xml:space="preserve">ծրագրի մասնակիցներին փորձնական ծրագրի շրջանակներում անհրաժեշտ քանակությամբ նույնականացման միջոցների տրամադրումը՝ անհատույց սկզբունքով։</w:t>
      </w:r>
    </w:p>
    <w:p>
      <w:pPr/>
      <w:r>
        <w:rPr/>
        <w:t xml:space="preserve"> </w:t>
      </w:r>
    </w:p>
    <w:p>
      <w:pPr>
        <w:numPr>
          <w:ilvl w:val="0"/>
          <w:numId w:val="25"/>
        </w:numPr>
      </w:pPr>
      <w:r>
        <w:rPr>
          <w:b w:val="1"/>
          <w:bCs w:val="1"/>
        </w:rPr>
        <w:t xml:space="preserve"> ԾՐԱԳՐԻ ԻՐԱԿԱՆԱՑՈՒՄԻՑ ԱԿՆԿԱԼՎՈՂ ԱՐԴՅՈՒՆՔՆԵՐԸ</w:t>
      </w:r>
    </w:p>
    <w:p>
      <w:pPr/>
      <w:r>
        <w:rPr/>
        <w:t xml:space="preserve"> </w:t>
      </w:r>
    </w:p>
    <w:p>
      <w:pPr>
        <w:numPr>
          <w:ilvl w:val="0"/>
          <w:numId w:val="26"/>
        </w:numPr>
      </w:pPr>
      <w:r>
        <w:rPr/>
        <w:t xml:space="preserve">Որպես ծրագրի իրականացման արդյունք ակնկալվում է հետևյալը՝</w:t>
      </w:r>
    </w:p>
    <w:p>
      <w:pPr>
        <w:numPr>
          <w:ilvl w:val="0"/>
          <w:numId w:val="27"/>
        </w:numPr>
      </w:pPr>
      <w:r>
        <w:rPr/>
        <w:t xml:space="preserve">պետական բյուջեի ծախսերի կրճատում,</w:t>
      </w:r>
    </w:p>
    <w:p>
      <w:pPr>
        <w:numPr>
          <w:ilvl w:val="0"/>
          <w:numId w:val="27"/>
        </w:numPr>
      </w:pPr>
      <w:r>
        <w:rPr/>
        <w:t xml:space="preserve">հայկական արտահանողների կողմից ԵԱՏՄ այլ երկրների օպերատորներին դրոշմապիտակների համար վճարվելիք գումարը այսուհետ կվճարվի հայկական տնտեսվարողներին և իր դրական ազդեցությունը կունենա ՀՀ տնտեսության վրա,</w:t>
      </w:r>
    </w:p>
    <w:p>
      <w:pPr>
        <w:numPr>
          <w:ilvl w:val="0"/>
          <w:numId w:val="27"/>
        </w:numPr>
      </w:pPr>
      <w:r>
        <w:rPr/>
        <w:t xml:space="preserve">ունենալ մեկ դրոշմապիտակի ձև ամբողջ ԵԱՏՄ-ի համար, ինչը զգալիորեն կպարզեցնի ապրանքների արտադրման գործընթացը,</w:t>
      </w:r>
    </w:p>
    <w:p>
      <w:pPr>
        <w:numPr>
          <w:ilvl w:val="0"/>
          <w:numId w:val="27"/>
        </w:numPr>
      </w:pPr>
      <w:r>
        <w:rPr/>
        <w:t xml:space="preserve">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numPr>
          <w:ilvl w:val="0"/>
          <w:numId w:val="27"/>
        </w:numPr>
      </w:pPr>
      <w:r>
        <w:rPr/>
        <w:t xml:space="preserve">ապրանքների նույնականացում և հետևաբար շրջանառության վերահսկում մինչև մեկ հատի ճշտությամբ,</w:t>
      </w:r>
    </w:p>
    <w:p>
      <w:pPr>
        <w:numPr>
          <w:ilvl w:val="0"/>
          <w:numId w:val="27"/>
        </w:numPr>
      </w:pPr>
      <w:r>
        <w:rPr/>
        <w:t xml:space="preserve">ապրանքների իսկության վերահսկում հանրության կողմից՝ հատուկ բջջային հավելվածի միջոցով,</w:t>
      </w:r>
    </w:p>
    <w:p>
      <w:pPr>
        <w:numPr>
          <w:ilvl w:val="0"/>
          <w:numId w:val="27"/>
        </w:numPr>
      </w:pPr>
      <w:r>
        <w:rPr/>
        <w:t xml:space="preserve">հնարավոր կլինի շատ ավելի ճշգրիտ գնահատել շրջանառվող ապրանքների քանակը և, հետևաբար, զգալիորեն նվազեցնել ստվերը։</w:t>
      </w:r>
    </w:p>
    <w:p>
      <w:pPr/>
      <w:r>
        <w:rPr/>
        <w:t xml:space="preserve"> </w:t>
      </w:r>
    </w:p>
    <w:p>
      <w:pPr>
        <w:numPr>
          <w:ilvl w:val="0"/>
          <w:numId w:val="28"/>
        </w:numPr>
      </w:pPr>
      <w:r>
        <w:rPr>
          <w:b w:val="1"/>
          <w:bCs w:val="1"/>
        </w:rPr>
        <w:t xml:space="preserve"> ԾՐԱԳՐԻ ՌԻՍԿԵՐԸ</w:t>
      </w:r>
    </w:p>
    <w:p>
      <w:pPr/>
      <w:r>
        <w:rPr/>
        <w:t xml:space="preserve"> </w:t>
      </w:r>
    </w:p>
    <w:p>
      <w:pPr>
        <w:numPr>
          <w:ilvl w:val="0"/>
          <w:numId w:val="29"/>
        </w:numPr>
      </w:pPr>
      <w:r>
        <w:rPr/>
        <w:t xml:space="preserve">Ինչպես ցանկացած ծրագիր, այս նախագիծը նույնպես պարունակում է որոշակի</w:t>
      </w:r>
    </w:p>
    <w:p>
      <w:pPr/>
      <w:r>
        <w:rPr/>
        <w:t xml:space="preserve">ռիսկ։ Հնարավոր է, որ որոշ արտադրող կամ ներմուծող կազմակերպությունների համար տեխնիկական վերազինման անհրաժեշտություն ։</w:t>
      </w:r>
    </w:p>
    <w:p>
      <w:pPr>
        <w:numPr>
          <w:ilvl w:val="0"/>
          <w:numId w:val="30"/>
        </w:numPr>
      </w:pPr>
      <w:r>
        <w:rPr/>
        <w:t xml:space="preserve">Չնայած նշված ռիսկին,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numPr>
          <w:ilvl w:val="0"/>
          <w:numId w:val="31"/>
        </w:numPr>
      </w:pPr>
      <w:r>
        <w:rPr>
          <w:b w:val="1"/>
          <w:bCs w:val="1"/>
        </w:rPr>
        <w:t xml:space="preserve">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ՊԵԿ էլեկտրոնային կառավարման համակարգերում ծրագրի իրականացման նպատակով կատարվող փոփոխությունները լրացուցիչ ֆինանսական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83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FA2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03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70488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8AC5F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14D6A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2F2C1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F3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3767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5A915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1B297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3E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ED261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AC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6D94C6"/>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3B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D6038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2456E2"/>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C8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EC2514"/>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38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EA07F0"/>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618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3BDEE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D3F51D"/>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3FE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DF301D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83FF66A"/>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9C493C0"/>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658A0C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2026-04-03T23:24:27+04:00</dcterms:created>
  <dcterms:modified xsi:type="dcterms:W3CDTF">2026-04-03T23:24:27+04:00</dcterms:modified>
</cp:coreProperties>
</file>

<file path=docProps/custom.xml><?xml version="1.0" encoding="utf-8"?>
<Properties xmlns="http://schemas.openxmlformats.org/officeDocument/2006/custom-properties" xmlns:vt="http://schemas.openxmlformats.org/officeDocument/2006/docPropsVTypes"/>
</file>