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«Օտարերկրյա պետությունների բարձրագույն ուսումնական հաստատություններում միջպետական համաձայնագրերով սահմանված կրթաթոշակային տեղերի մրցույթի անցկացման (բակալավրի, դիպլոմավորված մասնագետի, մագիստրոսի, ասպիրանտուրայի (ինտերնատուրա, օրդինատուրա) և դոկտորանտուրայի կրթական ծրագրերով) կարգը հաստատելու և Հայաստանի Հանրապետության կրթության և գիտության նախարարի 2011 թվականի հոկտեմբերի 31-ի N 1205-Ն հրամանն ուժը կորցրած ճանաչելու մասին» հրամանի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ՕՏԱՐԵՐԿՐՅԱ ՊԵՏՈՒԹՅՈՒՆՆԵՐԻ ԲԱՐՁՐԱԳՈՒՅՆ ՈՒՍՈՒՄՆԱԿԱՆ ՀԱՍՏԱՏՈՒԹՅՈՒՆՆԵՐՈՒՄ ՄԻՋՊԵՏԱԿԱՆ ՀԱՄԱՁԱՅՆԱԳՐԵՐՈՎ ՍԱՀՄԱՆՎԱԾ</w:t>
      </w:r>
      <w:r>
        <w:rPr>
          <w:b w:val="1"/>
          <w:bCs w:val="1"/>
        </w:rPr>
        <w:t xml:space="preserve"> ԿՐԹԱԹՈՇԱԿԱՅԻՆ ՏԵՂԵՐԻ ՄՐՑՈՒՅԹԻ ԱՆՑԿԱՑՄԱՆ (ԲԱԿԱԼԱՎՐԻ, ԴԻՊԼՈՄԱՎՈՐՎԱԾ ՄԱՍՆԱԳԵՏԻ, ՄԱԳԻՍՏՐՈՍԻ, ԱՍՊԻՐԱՆՏՈՒՐԱՅԻ (ԻՆՏԵՐՆԱՏՈՒՐԱ, ՕՐԴԻՆԱՏՈՒՐԱ) ԵՎ ԴՈԿՏՈՐԱՆՏՈՒՐԱՅԻ ԿՐԹԱԿԱՆ ԾՐԱԳՐԵՐՈՎ) ԿԱՐԳԸ ՀԱՍՏԱՏԵԼՈՒ ԵՎ ՀԱՅԱՍՏԱՆԻ ՀԱՆՐԱՊԵՏՈՒԹՅԱՆ ԿՐԹՈՒԹՅԱՆ ԵՎ ԳԻՏՈՒԹՅԱՆ ՆԱԽԱՐԱՐԻ 2011 ԹՎԱԿԱՆԻ ՀՈԿՏԵՄԲԵՐԻ 31-Ի N 1205-Ն ՀՐԱՄԱՆՆ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37-րդ հոդվածը, Հայաստանի Հանրապետության վարչապետի 2019 թվականի հունիսի 1-ի N 661-Լ որոշման հավելվածի 11-րդ կետի 23-րդ ենթակետը և 19-րդ կետի 20-րդ ենթակետը՝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>
        <w:numPr>
          <w:ilvl w:val="0"/>
          <w:numId w:val="2"/>
        </w:numPr>
      </w:pPr>
      <w:r>
        <w:rPr/>
        <w:t xml:space="preserve">Հաստատել «Օտարերկրյա պետությունների բարձրագույն ուսումնական հաստատություններում միջպետական համաձայնագրերով սահմանված կրթաթոշակային տեղերի մրցույթի անցկացման (բակալավրի, դիպլոմավորված մասնագետի, մագիստրոսի, ասպիրանտուրայի (ինտերնատուրա, օրդինատուրա)և դոկտորանտուրայի կրթական ծրագրերով) կարգը»՝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կրթության և գիտության նախարարի 2011 թվականի հոկտեմբերի 31-ի «Օտարերկրյա պետությունների բարձրագույն ուսումնական հաստատություններում միջպետական համաձայնագրերով Հայաստանի Հանրապետության կրթության և գիտության նախարարությանը հատկացված կրթաթոշակային տեղերի մրցույթի անցկացման (բակալավրի, դիպլոմավորված մասնագետի, մագիստրոսի, ասպիրանտուրայի (ինտերնատուրա, օրդինատուրա) և դոկտորանտուրայի կրթական ծրագրերով) կարգը հաստատելու և Հայաստանի Հանրապետության կրթության և գիտության նախարարի 2006 թ. հունվարի 26-ի N 27-Ն հրամանն ուժը կորցրած ճանաչելու մասին» N 1205-Ն հրամանը: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ՆԱԽԱՐԱՐ՝                                               Ժ.ԱՆԴՐԵԱՍՅԱՆ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կրթության, գիտության, </w:t>
      </w:r>
    </w:p>
    <w:p>
      <w:pPr>
        <w:jc w:val="end"/>
      </w:pPr>
      <w:r>
        <w:rPr>
          <w:b w:val="1"/>
          <w:bCs w:val="1"/>
        </w:rPr>
        <w:t xml:space="preserve">մշակույթի և սպորտի նախարարի</w:t>
      </w:r>
    </w:p>
    <w:p>
      <w:pPr>
        <w:jc w:val="end"/>
      </w:pPr>
      <w:r>
        <w:rPr>
          <w:b w:val="1"/>
          <w:bCs w:val="1"/>
        </w:rPr>
        <w:t xml:space="preserve">2024թ. _______</w:t>
      </w:r>
      <w:r>
        <w:rPr/>
        <w:t xml:space="preserve"> </w:t>
      </w:r>
      <w:r>
        <w:rPr>
          <w:b w:val="1"/>
          <w:bCs w:val="1"/>
        </w:rPr>
        <w:t xml:space="preserve">N _____-Ն հրամանի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ՕՏԱՐԵՐԿՐՅԱ ՊԵՏՈՒԹՅՈՒՆՆԵՐԻ ԲԱՐՁՐԱԳՈՒՅՆ ՈՒՍՈՒՄՆԱԿԱՆ ՀԱՍՏԱՏՈՒԹՅՈՒՆՆԵՐՈՒՄ ՄԻՋՊԵՏԱԿԱՆ ՀԱՄԱՁԱՅՆԱԳՐԵՐՈՎ ՀԱՅԱՍՏԱՆԻ ՀԱՆՐԱՊԵՏՈՒԹՅԱՆ ԿՐԹՈՒԹՅԱՆ, </w:t>
      </w:r>
      <w:r>
        <w:rPr>
          <w:b w:val="1"/>
          <w:bCs w:val="1"/>
        </w:rPr>
        <w:t xml:space="preserve">ԳԻՏՈՒԹՅԱՆ, ՄՇԱԿՈՒՅԹԻ ԵՎ ՍՊՈՐՏԻ</w:t>
      </w:r>
      <w:r>
        <w:rPr/>
        <w:t xml:space="preserve"> </w:t>
      </w:r>
      <w:r>
        <w:rPr>
          <w:b w:val="1"/>
          <w:bCs w:val="1"/>
        </w:rPr>
        <w:t xml:space="preserve">ՆԱԽԱՐԱՐՈՒԹՅԱՆԸ</w:t>
      </w:r>
      <w:r>
        <w:rPr/>
        <w:t xml:space="preserve"> </w:t>
      </w:r>
      <w:r>
        <w:rPr>
          <w:b w:val="1"/>
          <w:bCs w:val="1"/>
        </w:rPr>
        <w:t xml:space="preserve">ՀԱՏԿԱՑՎԱԾ</w:t>
      </w:r>
      <w:r>
        <w:rPr/>
        <w:t xml:space="preserve"> </w:t>
      </w:r>
      <w:r>
        <w:rPr>
          <w:b w:val="1"/>
          <w:bCs w:val="1"/>
        </w:rPr>
        <w:t xml:space="preserve">ԿՐԹԱԹՈՇԱԿԱՅԻՆ</w:t>
      </w:r>
      <w:r>
        <w:rPr/>
        <w:t xml:space="preserve"> </w:t>
      </w:r>
      <w:r>
        <w:rPr>
          <w:b w:val="1"/>
          <w:bCs w:val="1"/>
        </w:rPr>
        <w:t xml:space="preserve">ՏԵՂԵՐԻ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ԲԱԿԱԼԱՎՐԻ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ԴԻՊԼՈՄԱՎՈՐՎԱԾ</w:t>
      </w:r>
      <w:r>
        <w:rPr/>
        <w:t xml:space="preserve"> </w:t>
      </w:r>
      <w:r>
        <w:rPr>
          <w:b w:val="1"/>
          <w:bCs w:val="1"/>
        </w:rPr>
        <w:t xml:space="preserve">ՄԱՍՆԱԳԵՏԻ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ՄԱԳԻՍՏՐՈՍ</w:t>
      </w:r>
      <w:r>
        <w:rPr>
          <w:b w:val="1"/>
          <w:bCs w:val="1"/>
        </w:rPr>
        <w:t xml:space="preserve">Ի, ԱՍՊԻՐԱՆՏՈՒՐԱՅԻ (ԻՆՏԵՐՆԱՏՈՒՐԱ, ՕՐԴԻՆԱՏՈՒՐԱ)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ԴՈԿՏՈՐԱՆՏՈՒ</w:t>
      </w:r>
      <w:r>
        <w:rPr>
          <w:b w:val="1"/>
          <w:bCs w:val="1"/>
        </w:rPr>
        <w:t xml:space="preserve">ՐԱՅԻ ԿՐԹԱԿԱՆ ԾՐԱԳՐԵՐՈՎ)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միջպետական համաձայնագրերով Հայաստանի Հանրապետության կրթության, գիտության, մշակույթի և սպորտի նախարարությանը (այսուհետ՝ Նախարարություն) հատկացված կրթաթոշակային տեղերի շրջանակներում օտարերկրյա պետությունների բարձրագույն ուսումնական կամ գիտակրթական հաստատություններ (այսուհետ՝ Հաստատություններ) Հայաստանի Հանրապետության քաղաքացիների (այսուհետ՝ Դիմորդ) ընդունելության համար անցկացվող մրցույթի հետ կապված հարաբերությունները։</w:t>
      </w:r>
    </w:p>
    <w:p>
      <w:pPr>
        <w:numPr>
          <w:ilvl w:val="0"/>
          <w:numId w:val="4"/>
        </w:numPr>
      </w:pPr>
      <w:r>
        <w:rPr/>
        <w:t xml:space="preserve">Հաստատություններում իրենց կրթությունը կարող են շարունակել համապատասխանաբար միջնակարգ կրթության ատեստատ, նախնական (արհեստագործական) կամ միջին մասնագիտական կրթության դիպլոմ, բարձրագույն և հետբուհական մասնագիտական կրթության դիպլոմ ունեցող Դիմորդները: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Մրցույթի անցկացման կարգը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Հաստատություններում միջպետական համաձայնագրերով սահմանված կրթաթոշակային տեղերի մրցույթը (այսուհետ՝ Մրցույթ) իրականացվում է երկու փուլով: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կրթության, գիտության, մշակույթի և սպորտի նախարարի (այսուհետ՝ Նախարարի) հրամանով ստեղծվում է Մրցութային հանձնաժողով (այսուհետ՝ Հանձնաժողով), որը կազմված է Հանձնաժողովի նախագահից, Հանձնաժողովի քարտուղարից և Հանձնաժողովի անդամներից, և սահմանվում է Մրցույթի անցկացման համար պատասխանատու ստորաբաժանումը (այսուհետ՝ Ստորաբաժանում):</w:t>
      </w:r>
    </w:p>
    <w:p>
      <w:pPr>
        <w:numPr>
          <w:ilvl w:val="0"/>
          <w:numId w:val="6"/>
        </w:numPr>
      </w:pPr>
      <w:r>
        <w:rPr/>
        <w:t xml:space="preserve">Հանձնաժողովի նիստն իրավազոր է, եթե նիստի աշխատանքներին մասնակցում են Հանձնաժողովի անդամների թվի կեսից ավելին: Հանձնաժողովն իր որոշումները կայացնում է բաց քվեարկությամբ՝ նիստի մասնակիցների ձայների պարզ մեծամասնությամբ:</w:t>
      </w:r>
    </w:p>
    <w:p>
      <w:pPr>
        <w:numPr>
          <w:ilvl w:val="0"/>
          <w:numId w:val="6"/>
        </w:numPr>
      </w:pPr>
      <w:r>
        <w:rPr/>
        <w:t xml:space="preserve">Ստորաբաժանումը Մրցույթին մասնակցելու համար դիմած յուրաքանչյուր Դիմորդի վերաբերյալ փաստաթղթերի փաթեթը, դիմորդների ընդհանուր անվանացանկի հետ միասին ներկայացնում է Հանձնաժողովին՝ փաստաթղթերի ընդունման վերջնաժամկետի ավարտից հետո 5 աշխատանքային օրվա ընթացքում:</w:t>
      </w:r>
    </w:p>
    <w:p>
      <w:pPr>
        <w:numPr>
          <w:ilvl w:val="0"/>
          <w:numId w:val="6"/>
        </w:numPr>
      </w:pPr>
      <w:r>
        <w:rPr/>
        <w:t xml:space="preserve">Հանձնաժողովը Մրցույթի անցկացմանը նախորդող աշխատանքային օրվա ընթացքում գումարած նիստում քննության է առնում ներկայացված փաստաթղթերը և կայացնում համապատասխան որոշում՝ Մրցույթին մասնակցելու թույլտվություն տալու մասին: Հանձնաժողովը Դիմորդին թույլ չի տալիս մասնակցելու մրցույթին, եթե բացակայում է պահանջվող փաստաթղթերից որևիցե մեկը:</w:t>
      </w:r>
    </w:p>
    <w:p>
      <w:pPr>
        <w:numPr>
          <w:ilvl w:val="0"/>
          <w:numId w:val="6"/>
        </w:numPr>
      </w:pPr>
      <w:r>
        <w:rPr/>
        <w:t xml:space="preserve">Հանձնաժողովն իր որոշմամբ հաստատում է Մրցույթի մասնակիցների ցանկը: Եթե Հանձնաժողովը Մրցույթին մասնակցելու համար դիմած Դիմորդներից ոչ մեկին չի թույլատրում մասնակցել Մրցույթին կամ Մրցույթին մասնակցելու համար դիմում ներկայացրած անձանցից ոչ ոք չի ներկայացել, ապա Հանձնաժողովը կայացնում է որոշում՝ Մրցույթը չկայացած համարելու մասին:</w:t>
      </w:r>
    </w:p>
    <w:p>
      <w:pPr>
        <w:numPr>
          <w:ilvl w:val="0"/>
          <w:numId w:val="6"/>
        </w:numPr>
      </w:pPr>
      <w:r>
        <w:rPr/>
        <w:t xml:space="preserve">Մրցույթի առաջին փուլը անցկացվում է.</w:t>
      </w:r>
    </w:p>
    <w:p>
      <w:pPr/>
      <w:r>
        <w:rPr/>
        <w:t xml:space="preserve">1) բակալավրի կրթական ծրագրով՝ համաձայն Հայաստանի Հանրապետության բարձրագույն ուսումնական հաստատությունների ընդունելության (ըստ բակալավրի կրթական ծրագրի) կարգով սահմանված՝ Հայաստանի Հանրապետությունում միասնական քննությունների կազմակերպման ձևաչափով նախատեսված, Դիմորդի առարկայական գիտելիքների գնահատման արդյունքների,</w:t>
      </w:r>
    </w:p>
    <w:p>
      <w:pPr/>
      <w:r>
        <w:rPr/>
        <w:t xml:space="preserve">2) մագիստրոսի կրթական ծրագրով՝ համաձայն Հայաստանի Հանրապետության բարձրագույն ուսումնական հաստատություններում մագիստրատուրայի ընդունելության և ուսուցման կարգի՝ Հայաստանի Հանրապետությունում մագիստրատուրայի մրցութային ընդունելության համար սահմանված չափանիշների առաջնահերթությամբ,</w:t>
      </w:r>
    </w:p>
    <w:p>
      <w:pPr/>
      <w:r>
        <w:rPr/>
        <w:t xml:space="preserve">3) ասպիրանտուրայի (ինտերնատուրա, օրդինատուրա) և դոկտորանտուրայի կրթական ծրագրերով՝ համաձայն Հայաստանի Հանրապետությունում ասպիրանտուրա և դոկտորանտուրա ընդունելության կարգի՝:</w:t>
      </w:r>
    </w:p>
    <w:p>
      <w:pPr>
        <w:numPr>
          <w:ilvl w:val="0"/>
          <w:numId w:val="7"/>
        </w:numPr>
      </w:pPr>
      <w:r>
        <w:rPr/>
        <w:t xml:space="preserve">Սույն կարգի 9-րդ կետով սահմանված Մրցույթի առաջին փուլում միայն դրական միավորներ ստացած Դիմորդը չի համարվում Մրցույթի առաջին փուլը հաղթահարած: Հանձնաժողովը որոշում է կայացնում Մրցույթի առաջին փուլը հաղթահարած Դիմորդի մասին` hիմք ընդունելով դիմորդի Մրցույթի առաջին փուլի արդյունքները:</w:t>
      </w:r>
    </w:p>
    <w:p>
      <w:pPr>
        <w:numPr>
          <w:ilvl w:val="0"/>
          <w:numId w:val="7"/>
        </w:numPr>
      </w:pPr>
      <w:r>
        <w:rPr/>
        <w:t xml:space="preserve">Մրցույթի առաջին փուլում դիտարկվում է`</w:t>
      </w:r>
    </w:p>
    <w:p>
      <w:pPr>
        <w:numPr>
          <w:ilvl w:val="0"/>
          <w:numId w:val="8"/>
        </w:numPr>
      </w:pPr>
      <w:r>
        <w:rPr/>
        <w:t xml:space="preserve">Բակալավրիընդունելության համապատասխան մասնագիտության համար նախատեսված առարկաների քննությունների արդյունքում ստացված միավորների հանրագումարի առավել բարձր միավորներ ունենալու հանգամանքը.</w:t>
      </w:r>
    </w:p>
    <w:p>
      <w:pPr>
        <w:numPr>
          <w:ilvl w:val="0"/>
          <w:numId w:val="8"/>
        </w:numPr>
      </w:pPr>
      <w:r>
        <w:rPr/>
        <w:t xml:space="preserve">Մագիստրատուրայիընդունելության համար նախատեսված միջին որակական գնահատականի առավել բարձր միավորներ ունենալու հանգամանքը.</w:t>
      </w:r>
    </w:p>
    <w:p>
      <w:pPr>
        <w:numPr>
          <w:ilvl w:val="0"/>
          <w:numId w:val="8"/>
        </w:numPr>
      </w:pPr>
      <w:r>
        <w:rPr/>
        <w:t xml:space="preserve">Ասպիրանտուրայիընդունելության համար նախատեսված առարկաների քննությունների արդյունքում ստացած միավորների  հանրագումարի առավել բարձր միավորներ ունենալու հանգամանքը:</w:t>
      </w:r>
    </w:p>
    <w:p>
      <w:pPr>
        <w:numPr>
          <w:ilvl w:val="0"/>
          <w:numId w:val="9"/>
        </w:numPr>
      </w:pPr>
      <w:r>
        <w:rPr/>
        <w:t xml:space="preserve">Մրցույթի երկրորդ փուլն անցկացնում է Հանձնաժողովը, որի աշխատանքներին, առանց քվեարկելու իրավունքի, կարող են հրավիրվել կրթաթոշակ տրամադրող երկրի դեսպանության ներկայացուցիչներ, համապատասխան օտար լեզվի և տվյալ մասնագիտության գծով համապատասխան մասնագետներ: Հարցազրույցի փուլն անց է կացվում Հանձնաժողովի կողմից Մրցույթի առաջին փուլի արդյունքներն ամփոփելուց հետո: Հարցազրույցի փուլ են անցնում բոլոր այն դիմորդները, որոնք հաղթահարել են Մրցույթի առաջին փուլը համաձայն Հանձնաժողովի որոշման:</w:t>
      </w:r>
    </w:p>
    <w:p>
      <w:pPr>
        <w:numPr>
          <w:ilvl w:val="0"/>
          <w:numId w:val="9"/>
        </w:numPr>
      </w:pPr>
      <w:r>
        <w:rPr/>
        <w:t xml:space="preserve">Մրցույթի երկրորդ փուլում գնահատվում են Դիմորդի ընտրած մասնագիտությամբ կրթություն ստանալու շարժառիթները, գործուղվելիք երկրի մասին ընդհանուր տեղեկացվածության մակարդակը (հասարակական-քաղաքական, տնտեսական, աշխարհագրական, մշակութային և օրենսդրական): Հանձնաժողովի և հրավիրված անձանց կողմից յուրաքանչյուր Դիմորդի կարող է տրվել ոչ ավելի, քան 6 հարց: Յուրաքանչյուր Դիմորդի համար Հանձնաժողովը որոշում է կայացնում Դիմորդի կողմից հարցազրույցի փուլը հաղթահարելու կամ չհաղթահարելու վերաբերյալ: Մրցույթի երկրորդ փուլն արձանագրում և ձայնագրում է Հանձնաժողովի քարտուղարը: Մրցույթի երկրորդ փուլի ձայնագրությունը պահպանվում է Մրցույթի երկրորդ փուլի անցկացման օրվանից մինչև 60 օր տևողությամբ:</w:t>
      </w:r>
    </w:p>
    <w:p>
      <w:pPr>
        <w:numPr>
          <w:ilvl w:val="0"/>
          <w:numId w:val="9"/>
        </w:numPr>
      </w:pPr>
      <w:r>
        <w:rPr/>
        <w:t xml:space="preserve">Մրցույթի երկրորդ փուլի մասնակից հանդիսացող Դիմորդի արդյունքների մասին Հանձնաժողովը Դիմորդին բանավոր հայտնում է Մրցույթի երկրորդ փուլի ավարտից հետո ոչ ուշ, քան 2 ժամվա ընթացքում:</w:t>
      </w:r>
    </w:p>
    <w:p>
      <w:pPr>
        <w:numPr>
          <w:ilvl w:val="0"/>
          <w:numId w:val="9"/>
        </w:numPr>
      </w:pPr>
      <w:r>
        <w:rPr/>
        <w:t xml:space="preserve">Մրցույթի առաջին և երկրորդ փուլերի ավարտից հետո մինչև 3 աշխատանքային օրվա ընթացքում Հանձնաժողովը որոշում է կայացնում Մրցույթի հաղթողների վերաբերյալ՝ հաշվի առնելով Մրցույթի առաջին և երկրորդ փուլերի արդյունքները:</w:t>
      </w:r>
    </w:p>
    <w:p>
      <w:pPr>
        <w:numPr>
          <w:ilvl w:val="0"/>
          <w:numId w:val="9"/>
        </w:numPr>
      </w:pPr>
      <w:r>
        <w:rPr/>
        <w:t xml:space="preserve">Մրցույթի արդյունքների մասին կազմվում է Մրցույթի արդյունքների թերթիկ, որը հաստատվում է Հանձնաժողովի որոշմամբ:</w:t>
      </w:r>
    </w:p>
    <w:p>
      <w:pPr>
        <w:numPr>
          <w:ilvl w:val="0"/>
          <w:numId w:val="9"/>
        </w:numPr>
      </w:pPr>
      <w:r>
        <w:rPr/>
        <w:t xml:space="preserve">Մրցույթի արդյունքների թերթիկի մեջ նշվում է՝</w:t>
      </w:r>
    </w:p>
    <w:p>
      <w:pPr/>
      <w:r>
        <w:rPr/>
        <w:t xml:space="preserve">1) կրթաթոշակ տրամադրող երկրի անվանումը,</w:t>
      </w:r>
    </w:p>
    <w:p>
      <w:pPr/>
      <w:r>
        <w:rPr/>
        <w:t xml:space="preserve">2) մասնագիտությունը, որի համար անցկացվել է Մրցույթը,</w:t>
      </w:r>
    </w:p>
    <w:p>
      <w:pPr/>
      <w:r>
        <w:rPr/>
        <w:t xml:space="preserve">3) Մրցույթի անցկացման տարին, ամիսը, ամսաթիվը և վայրը,</w:t>
      </w:r>
    </w:p>
    <w:p>
      <w:pPr/>
      <w:r>
        <w:rPr/>
        <w:t xml:space="preserve">4) Մրցույթի արդյունքում հաղթող ճանաչված մասնակիցների ազգանունը, անունը և հայրանունը:</w:t>
      </w:r>
    </w:p>
    <w:p>
      <w:pPr>
        <w:numPr>
          <w:ilvl w:val="0"/>
          <w:numId w:val="10"/>
        </w:numPr>
      </w:pPr>
      <w:r>
        <w:rPr/>
        <w:t xml:space="preserve">Մրցույթի արդյունքում թափուր տեղեր առաջանալու դեպքում կարող է անցկացվել նոր Մրցույթ` համաձայնեցնելով կրթաթոշակ տրամադրող Կողմի հետ:</w:t>
      </w:r>
    </w:p>
    <w:p>
      <w:pPr>
        <w:numPr>
          <w:ilvl w:val="0"/>
          <w:numId w:val="10"/>
        </w:numPr>
      </w:pPr>
      <w:r>
        <w:rPr/>
        <w:t xml:space="preserve">Հանձնաժողովը հիմնական հաղթողներից բացի հայտարարում է նաև ռեզերվային ճանաչված թեկնածուների անունները, եթե դա նախատեսված է կրթաթոշակ տրամադրող երկրի կողմից, որոնց թեկնածությունները հիմնական հաղթողների ցուցակի հետ միասին ներկայացվում են կրթաթոշակ տրամադրող Կողմին:</w:t>
      </w:r>
    </w:p>
    <w:p>
      <w:pPr>
        <w:numPr>
          <w:ilvl w:val="0"/>
          <w:numId w:val="10"/>
        </w:numPr>
      </w:pPr>
      <w:r>
        <w:rPr/>
        <w:t xml:space="preserve">Հանձնաժողովի քարտուղարը Դիմորդին ծանուցում է Մրցույթի առաջին և երկրորդ փուլերում հաղթող ճանաչված լինելու մասին՝ Դիմորդի դիմում-հարցաթերթիկում նշված էլեկտրոնային հասցեի միջոցով: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Փաստաթղթերի ցանկը և ներկայացման կարգը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Հաստատություններում միջպետական համաձայնագրերով սահմանված կրթաթոշակային տեղերի Մրցույթն անցկացնելու մասին հայտարարությունը (այսուհետ` Հայտարարություն) Նախարարությունը հրապարակում է Նախարարության ինտերնետային պաշտոնական էջում:</w:t>
      </w:r>
    </w:p>
    <w:p>
      <w:pPr>
        <w:numPr>
          <w:ilvl w:val="0"/>
          <w:numId w:val="11"/>
        </w:numPr>
      </w:pPr>
      <w:r>
        <w:rPr/>
        <w:t xml:space="preserve">Հայտարարությունը պետք է պարունակի հետևյալ տվյալները.</w:t>
      </w:r>
    </w:p>
    <w:p>
      <w:pPr/>
      <w:r>
        <w:rPr/>
        <w:t xml:space="preserve">1) համապատասխան երկրի անվանումը,</w:t>
      </w:r>
    </w:p>
    <w:p>
      <w:pPr/>
      <w:r>
        <w:rPr/>
        <w:t xml:space="preserve">2) ուսուցման լեզուն,</w:t>
      </w:r>
    </w:p>
    <w:p>
      <w:pPr/>
      <w:r>
        <w:rPr/>
        <w:t xml:space="preserve">3) Հաստատություններում միջպետական համաձայնագրերով սահմանված կրթաթոշակային տեղերի թիվը` ըստ հատկացված մասնագիտությունների (եթե դրանք առկա են կրթաթոշակի տրամադրման մասին հայտում),</w:t>
      </w:r>
    </w:p>
    <w:p>
      <w:pPr/>
      <w:r>
        <w:rPr/>
        <w:t xml:space="preserve">4) մրցույթին մասնակցելու համար գիտելիքների (մասնագիտական) իմացության տեսանկյունից ներկայացվող պահանջները,</w:t>
      </w:r>
    </w:p>
    <w:p>
      <w:pPr/>
      <w:r>
        <w:rPr/>
        <w:t xml:space="preserve">5) ուսման տևողությունը՝ ներառյալ նախապատրաստական կուրսը (եթե այն առկա է կրթաթոշակի տրամադրման մասին հայտում),</w:t>
      </w:r>
    </w:p>
    <w:p>
      <w:pPr/>
      <w:r>
        <w:rPr/>
        <w:t xml:space="preserve">6) կրթաթոշակի տրամադրման մասին հայտով նախատեսվող փաստաթղթերի ցանկը և դրանք ներկայացնելու վերջնաժամկետը,</w:t>
      </w:r>
    </w:p>
    <w:p>
      <w:pPr/>
      <w:r>
        <w:rPr/>
        <w:t xml:space="preserve">7) Մրցույթն անցկացնելու օրը, ժամը և վայրը,</w:t>
      </w:r>
    </w:p>
    <w:p>
      <w:pPr/>
      <w:r>
        <w:rPr/>
        <w:t xml:space="preserve">8) Ստորաբաժանման անվանումը, գտնվելու վայրը և հեռախոսահամարը:</w:t>
      </w:r>
    </w:p>
    <w:p>
      <w:pPr>
        <w:numPr>
          <w:ilvl w:val="0"/>
          <w:numId w:val="12"/>
        </w:numPr>
      </w:pPr>
      <w:r>
        <w:rPr/>
        <w:t xml:space="preserve">Մրցույթին մասնակցելու համար Դիմորդը Ստորաբաժանմանը ներկայացնում է՝</w:t>
      </w:r>
    </w:p>
    <w:p>
      <w:pPr/>
      <w:r>
        <w:rPr/>
        <w:t xml:space="preserve">1) դիմում Հանձնաժողովի նախագահի անունով՝ համաձայն հավելվածի Ձև 1-ի,</w:t>
      </w:r>
    </w:p>
    <w:p>
      <w:pPr/>
      <w:r>
        <w:rPr/>
        <w:t xml:space="preserve">2) դիմում-հարցաթերթիկ՝ համաձայն հավելվածի Ձև 2-ի,</w:t>
      </w:r>
    </w:p>
    <w:p>
      <w:pPr/>
      <w:r>
        <w:rPr/>
        <w:t xml:space="preserve">3) կրթաթոշակի տրամադրման մասին հայտով նախատեսվող փաստաթղթեր,</w:t>
      </w:r>
    </w:p>
    <w:p>
      <w:pPr/>
      <w:r>
        <w:rPr/>
        <w:t xml:space="preserve">4) արական սեռի անձինք ներկայացնում են զինգրքույկի պատճեն կամ դրան փոխարինող ժամանակավոր կամ զորակոչային տեղամասից համապատասխան տեղեկանք, կամ կցագրման վկայականի պատճեն,</w:t>
      </w:r>
    </w:p>
    <w:p>
      <w:pPr/>
      <w:r>
        <w:rPr/>
        <w:t xml:space="preserve">5) Դիմորդը կարող է իր ցանկությամբ լրացուցիչ փաստաթղթեր կցել անձնական գործին:</w:t>
      </w:r>
    </w:p>
    <w:p>
      <w:pPr>
        <w:numPr>
          <w:ilvl w:val="0"/>
          <w:numId w:val="13"/>
        </w:numPr>
      </w:pPr>
      <w:r>
        <w:rPr/>
        <w:t xml:space="preserve">Դիմորդը 23-րդ կետում նշված փաստաթղթերը ներկայացնում են անձամբ կամ այլ լիազորված անձի միջոցով: Ստորաբաժանումը 23-րդ կետում նշված փաստաթղթերի պատճենները համեմատում է բնօրինակների հետ և ընդունում պատճենները: Բացակայող փաստաթղթերը Դիմորդը պարտավորվում է լրացնել մինչև Մրցույթի առաջին փուլը՝ դրա մասին կատարելով համապատասխան գրառում Հանձնաժողովի նախագահի անունով դիմումում, համաձայն հավելվածի Ձև 1-ի:</w:t>
      </w:r>
    </w:p>
    <w:p>
      <w:pPr>
        <w:numPr>
          <w:ilvl w:val="0"/>
          <w:numId w:val="13"/>
        </w:numPr>
      </w:pPr>
      <w:r>
        <w:rPr/>
        <w:t xml:space="preserve">Մրցույթի վերաբերյալ ամփոփ հաշվետվությունների կազմման նպատակով Ստորաբաժանումը վարում է Մրցույթին մասնակցելու համար դիմած Դիմորդի տվյալների գրառման համարակալված գրանցամատյան՝ համաձայն հավելվածի Ձև 3-ի:</w:t>
      </w:r>
    </w:p>
    <w:p>
      <w:pPr>
        <w:numPr>
          <w:ilvl w:val="0"/>
          <w:numId w:val="13"/>
        </w:numPr>
      </w:pPr>
      <w:r>
        <w:rPr/>
        <w:t xml:space="preserve">Մրցույթին մասնակցելու համար դիմած յուրաքանչյուր Դիմորդ կարող է համաձայն ներկայացված դիմումի հրաժարվել Մրցույթին մասնակցելուց: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Բողոքարկում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Մրցույթի առաջին փուլի բողոքարկումը իրականացվում է համաձայն սույն կարգի 9-րդ կետի 1, 2 և 3 ենթակետերում նշված կարգերի:</w:t>
      </w:r>
    </w:p>
    <w:p>
      <w:pPr>
        <w:numPr>
          <w:ilvl w:val="0"/>
          <w:numId w:val="14"/>
        </w:numPr>
      </w:pPr>
      <w:r>
        <w:rPr/>
        <w:t xml:space="preserve">Դիմորդը կարող է բողոքարկել Մրցույթի երկրորդ փուլի արդյունքները, դրանց հրապարակումից հետո 1 ժամվա ընթացքում՝ գրավոր ձևով: Բողոքարկման ժամկետը լրանալուց հետո Հանձնաժողովն արձանագրում է գրավոր բողոքի առկայության կամ բացակայության մասին: Հանձնաժողովը բողոքարկող Դիմորդի ներկայությամբ լսում է հարցազրույցի ձայնագրությունը և կայացնում որոշում: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Փաստաթղթերի արխիվացումը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Մրցույթին մասնակցող դիմորդների ներկայացրած փաստաթղթերի պատճենները հետ չեն վերադարձվում և արխիվացվում են Նախարարությունում՝ մեկ տարի ժամկետով:</w:t>
      </w:r>
    </w:p>
    <w:p>
      <w:pPr>
        <w:numPr>
          <w:ilvl w:val="0"/>
          <w:numId w:val="16"/>
        </w:numPr>
      </w:pPr>
      <w:r>
        <w:rPr/>
        <w:t xml:space="preserve">Մրցույթի արդյունքում հաղթող ճանաչված Դիմորդի կողմից ներկայացված փաստաթղթերի փաթեթները (պատճենները) պահպանվում են Նախարարության արխիվում՝ 10 տարի ժամկետով: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Մրցույթի հրապարակայնությունը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Հանձնաժողովի որոշմամբ Մրցույթին կարող են ներկա գտնվել զանգվածային լրատվության միջոցների ներկայացուցիչներ, ինչպես նաև դիտորդներ: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VII. Եզրափակիչ դրույթներ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Հանձնաժողովի որոշմամբ սույն կարգի 22-րդ կետի 7) ենթակետով նախատեսված մրցույթը սկսելու օրը, ժամը և վայրը կարող է փոփոխվել, որի մասին ոչ ուշ, քան Մրցույթն անցկացնելու օրվանից երեք օր առաջ, Ստորաբաժանման կողմից պետք է տեղեկատվությունը փոխանցվի Դիմորդին՝ Դիմորդի դիմում-հարցաթերթիկում նշված էլեկտրոնային հասցեին էլեկտրոնային նամակ ուղարկելու կամ հեռախոսահամարի միջոցով:</w:t>
      </w:r>
    </w:p>
    <w:p>
      <w:pPr>
        <w:numPr>
          <w:ilvl w:val="0"/>
          <w:numId w:val="19"/>
        </w:numPr>
      </w:pPr>
      <w:r>
        <w:rPr/>
        <w:t xml:space="preserve">Հանձնաժողովի կողմից Մրցույթի արդյունքում հաղթող ճանաչված Դիմորդի փաստաթղթերը կրթաթոշակ տրամադրող օտարերկրյա պետություն փոխանցելու մասին որոշումը հաստատվում է Նախարարի հրամանով: Դիմորդը համարվում է ընդունված կրթաթոշակ տրամադրող օտարերկրյա պետության կողմից ընդունվելու մասին պաշտոնական հաստատումը ստանալուց հետո:</w:t>
      </w:r>
    </w:p>
    <w:p>
      <w:pPr>
        <w:numPr>
          <w:ilvl w:val="0"/>
          <w:numId w:val="19"/>
        </w:numPr>
      </w:pPr>
      <w:r>
        <w:rPr/>
        <w:t xml:space="preserve">Եթե նախկինում գործուղված ասպիրանտը կամ դոկտորանտը օբյեկտիվ կամ տեխնիկական պատճառներով (հիվանդություն, տարբեր բնույթի համաճարակներ, թեմայի իրականացման համար անհրաժեշտ տեխնիկական պայմանների բացակայություն, լրացուցիչ գիտափորձերի անցկացման անհրաժեշտություն և այլն) չի հասցրել ավարտել իր գիտական աշխատանքը, ապա կրթաթոշակ տրամադրող երկրի համապատասխան գերատեսչության համաձայնության առկայության դեպքում Նախարարության կողմից կրթաթոշակը կարող է երկարաձգվել մինչև մեկ տարի ժամկետով: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Ձև 1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 ՀԱՆՐԱՊԵՏՈՒԹՅԱՆ ԿՐԹՈՒԹՅԱՆ, ԳԻՏՈՒԹՅԱՆ, ՄՇԱԿՈՒՅԹԻ ԵՎ ՍՊՈՐՏԻ ՆԱԽԱՐԱՐՈՒԹՅՈՒՆ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_____________________________________</w:t>
      </w:r>
    </w:p>
    <w:p>
      <w:pPr>
        <w:jc w:val="end"/>
      </w:pPr>
      <w:r>
        <w:rPr/>
        <w:t xml:space="preserve">(կրթաթոշակ տրամադրող երկրի անվանումը)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ԿՐԹԱԹՈՇԱԿԱՅԻՆ ՄՐՑՈՒՅԹԻ</w:t>
      </w:r>
    </w:p>
    <w:p>
      <w:pPr>
        <w:jc w:val="end"/>
      </w:pPr>
      <w:r>
        <w:rPr>
          <w:b w:val="1"/>
          <w:bCs w:val="1"/>
        </w:rPr>
        <w:t xml:space="preserve">ՀԱՆՁՆԱԺՈՂՈՎԻ ՆԱԽԱԳԱՀ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________________________________-ին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ՀՀ ՔԱՂԱՔԱՑԻ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__________________________________-ից</w:t>
      </w:r>
    </w:p>
    <w:p>
      <w:pPr>
        <w:jc w:val="end"/>
      </w:pPr>
      <w:r>
        <w:rPr/>
        <w:t xml:space="preserve">(դիմողի անուն, ազգանուն, հայրանուն)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____________________________________</w:t>
      </w:r>
    </w:p>
    <w:p>
      <w:pPr>
        <w:jc w:val="end"/>
      </w:pPr>
      <w:r>
        <w:rPr/>
        <w:t xml:space="preserve">(բնակության վայր) </w:t>
      </w:r>
    </w:p>
    <w:p>
      <w:pPr>
        <w:jc w:val="end"/>
      </w:pPr>
      <w:r>
        <w:rPr/>
        <w:t xml:space="preserve">_____________________________________</w:t>
      </w:r>
    </w:p>
    <w:p>
      <w:pPr>
        <w:jc w:val="end"/>
      </w:pPr>
      <w:r>
        <w:rPr/>
        <w:t xml:space="preserve">(հեռախոսի համար, էլեկտրոնային հասցե)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ՈՒ Մ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Խնդրում եմ թույլատրել ինձ մասնակցել _________________________________ բարձրագույն (երկրի անվանումը) ուսումնական հաստատություններում ______________________________ կրթական ծրագրով ուսանելու համար _____________________________________ մասնագիտությամբ հայտարարված կրթաթոշակային մրցույթին, որի համար ներկայացնում եմ պահանջվող հետևյալ փաստաթղթերը:</w:t>
      </w:r>
    </w:p>
    <w:p>
      <w:pPr/>
      <w:r>
        <w:rPr/>
        <w:t xml:space="preserve">Պարտավորվում եմ բացակայող փաստաթղթերը ներկայացնել մինչև մրցույթի օրը:</w:t>
      </w:r>
    </w:p>
    <w:p>
      <w:pPr/>
      <w:r>
        <w:rPr/>
        <w:t xml:space="preserve">Բացակայող փաստաթղթեր.</w:t>
      </w:r>
    </w:p>
    <w:p>
      <w:pPr>
        <w:numPr>
          <w:ilvl w:val="0"/>
          <w:numId w:val="20"/>
        </w:numPr>
      </w:pPr>
      <w:r>
        <w:rPr/>
        <w:t xml:space="preserve">_________________________________________________________________________________</w:t>
      </w:r>
    </w:p>
    <w:p>
      <w:pPr>
        <w:numPr>
          <w:ilvl w:val="0"/>
          <w:numId w:val="20"/>
        </w:numPr>
      </w:pPr>
      <w:r>
        <w:rPr/>
        <w:t xml:space="preserve">_________________________________________________________________________________</w:t>
      </w:r>
    </w:p>
    <w:p>
      <w:pPr>
        <w:numPr>
          <w:ilvl w:val="0"/>
          <w:numId w:val="20"/>
        </w:numPr>
      </w:pPr>
      <w:r>
        <w:rPr/>
        <w:t xml:space="preserve">_________________________________________________________________________________</w:t>
      </w:r>
    </w:p>
    <w:p>
      <w:pPr>
        <w:numPr>
          <w:ilvl w:val="0"/>
          <w:numId w:val="20"/>
        </w:numPr>
      </w:pPr>
      <w:r>
        <w:rPr/>
        <w:t xml:space="preserve">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Դիմող՝      ________________________     ______________________________</w:t>
      </w:r>
    </w:p>
    <w:p>
      <w:pPr/>
      <w:r>
        <w:rPr/>
        <w:t xml:space="preserve">              (ստորագրություն)                                   (անուն, ազգանուն)</w:t>
      </w:r>
    </w:p>
    <w:p>
      <w:pPr/>
      <w:r>
        <w:rPr/>
        <w:t xml:space="preserve"> </w:t>
      </w:r>
    </w:p>
    <w:p>
      <w:pPr/>
      <w:r>
        <w:rPr/>
        <w:t xml:space="preserve">«______» ________________ 20____թ.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2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ԿՐԹՈՒԹՅԱՆ, ԳԻՏՈՒԹՅԱՆ, ՄՇԱԿՈՒՅԹԻ ԵՎ ՍՊՈՐՏԻ ՆԱԽԱՐԱՐՈՒԹՅՈՒՆ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ԴԻՄՈՒՄ - ՀԱՐՑԱԹԵՐԹԻԿ</w:t>
      </w:r>
    </w:p>
    <w:p>
      <w:pPr>
        <w:jc w:val="center"/>
      </w:pPr>
      <w:r>
        <w:rPr>
          <w:b w:val="1"/>
          <w:bCs w:val="1"/>
        </w:rPr>
        <w:t xml:space="preserve">Օտարերկրյա պետությունների բարձրագույն ուսումնական հաստատություններում միջպետական համաձայնագրով Հայաստանի Հանրապետության կրթության, գիտության, մշակույթի և սպորտի նախարարությանը հատկացված կրթաթոշակային տեղերի մրցույթի դիմորդների համար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/>
              <w:t xml:space="preserve">Լուսանկարի</w:t>
            </w:r>
          </w:p>
          <w:p>
            <w:pPr>
              <w:jc w:val="end"/>
            </w:pPr>
            <w:r>
              <w:rPr/>
              <w:t xml:space="preserve">համար</w:t>
            </w:r>
          </w:p>
          <w:p>
            <w:pPr>
              <w:jc w:val="end"/>
            </w:pPr>
            <w:r>
              <w:rPr/>
              <w:t xml:space="preserve">3 x 4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Ազգանունը ________________ Անունը ________________ Հայրանունը 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Ծննդյան թիվը ____________________ 3. Ծննդյան վայրը ____________________________</w:t>
      </w:r>
    </w:p>
    <w:p>
      <w:pPr/>
      <w:r>
        <w:rPr/>
        <w:t xml:space="preserve">                 (օր, ամիս, տարի)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Բնակության երկիրը 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Սեռը ____________ 5. Ընտանեկան վիճակը 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Հաշվառման վայրը ______________________________________________________________ </w:t>
      </w:r>
    </w:p>
    <w:p>
      <w:pPr/>
      <w:r>
        <w:rPr/>
        <w:t xml:space="preserve">(երկիր, քաղաք, հասցե)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Հեռ._______________________ Էլեկտրոնային հասցե 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Կրթական աստիճանը 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Դպրոցի մասին տվյալներ 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Քաղաքը ____________________ Երկիրը   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Ուսուցման սկիզբը ________________ Ուսուցման ավարտը  _________________</w:t>
      </w:r>
    </w:p>
    <w:p>
      <w:pPr/>
      <w:r>
        <w:rPr/>
        <w:t xml:space="preserve">          (ամիսը, տարեթիվը)                                                  (ամիսը, տարեթիվը)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Ավարտած այլ ուսումնական հաստատությունների մասին տվյալներ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10.1 Հաստատության անվանումը  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ավարտել եմ _____________________  մասնագիտությունը  ______________________________</w:t>
      </w:r>
    </w:p>
    <w:p>
      <w:pPr/>
      <w:r>
        <w:rPr/>
        <w:t xml:space="preserve">(ամիսը, տարեթիվը)</w:t>
      </w:r>
    </w:p>
    <w:p>
      <w:pPr/>
      <w:r>
        <w:rPr/>
        <w:t xml:space="preserve"> </w:t>
      </w:r>
    </w:p>
    <w:p>
      <w:pPr/>
      <w:r>
        <w:rPr/>
        <w:t xml:space="preserve">10.2 Հաստատության անվանումը 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ավարտել եմ _____________________  մասնագիտությունը  ______________________________</w:t>
      </w:r>
    </w:p>
    <w:p>
      <w:pPr/>
      <w:r>
        <w:rPr/>
        <w:t xml:space="preserve">(ամիսը, տարեթիվը)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Դիմում եմ սովորելու հետևյալ կրթական ծրագրով</w:t>
      </w:r>
    </w:p>
    <w:p>
      <w:pPr/>
      <w:r>
        <w:rPr/>
        <w:t xml:space="preserve"> </w:t>
      </w:r>
    </w:p>
    <w:p>
      <w:pPr/>
      <w:r>
        <w:rPr/>
        <w:t xml:space="preserve"> բակալավրի,</w:t>
      </w:r>
    </w:p>
    <w:p>
      <w:pPr/>
      <w:r>
        <w:rPr/>
        <w:t xml:space="preserve"> մագիստրոսի,</w:t>
      </w:r>
    </w:p>
    <w:p>
      <w:pPr/>
      <w:r>
        <w:rPr/>
        <w:t xml:space="preserve"> հետազոտողի,</w:t>
      </w:r>
    </w:p>
    <w:p>
      <w:pPr/>
      <w:r>
        <w:rPr/>
        <w:t xml:space="preserve"> վերապատրաստման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______________________________________________________________ մասնագիտությամբ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Ընտանիքի անդամների մասին տվյալները՝</w:t>
      </w:r>
    </w:p>
    <w:p>
      <w:pPr/>
      <w:r>
        <w:rPr/>
        <w:t xml:space="preserve">(նշել ազգակցության աստիճանը, անունը և ազգանունը, ծննդյան թիվը, վայրը, աշխատանքի վայրը, պաշտոնը)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Այլ նշումներ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Ստորագրությունը __________________________________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«______» ________________ 20____թ.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3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ԿՐԹՈՒԹՅԱՆ, ԳԻՏՈՒԹՅԱՆ, ՄՇԱԿՈՒՅԹԻ ԵՎ ՍՊՈՐՏԻ ՆԱԽԱՐԱՐՈՒԹՅՈՒՆ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 Ր Ա Ն Ց Ա Մ Ա Տ Յ Ա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Օտարերկրյա պետությունների բարձրագույն ուսումնական հաստատություններում միջպետական համաձայնագրերով Հայաստանի Հանրապետության կրթության, գիտության, մշակույթի և սպորտի նախարարությանը հատկացված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կրթաթոշակային</w:t>
      </w:r>
      <w:r>
        <w:rPr/>
        <w:t xml:space="preserve"> </w:t>
      </w:r>
      <w:r>
        <w:rPr>
          <w:b w:val="1"/>
          <w:bCs w:val="1"/>
        </w:rPr>
        <w:t xml:space="preserve">տեղերի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" w:type="dxa"/>
        <w:gridCol w:w="500" w:type="dxa"/>
        <w:gridCol w:w="450" w:type="dxa"/>
        <w:gridCol w:w="500" w:type="dxa"/>
        <w:gridCol w:w="700" w:type="dxa"/>
        <w:gridCol w:w="600" w:type="dxa"/>
        <w:gridCol w:w="500" w:type="dxa"/>
        <w:gridCol w:w="800" w:type="dxa"/>
        <w:gridCol w:w="450" w:type="dxa"/>
      </w:tblGrid>
      <w:tblPr>
        <w:tblW w:w="500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Ազգանուն, անուն, հայրանուն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Ծննդյան օր, ամիս, տարի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Անձնագրի սերիա, համար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Ներկայացված փաստաթղթերի էջերի քանակը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Բնակության վայր, հեռախոս,</w:t>
            </w:r>
          </w:p>
          <w:p>
            <w:pPr/>
            <w:r>
              <w:rPr/>
              <w:t xml:space="preserve">էլ-փոստ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Դիմումի հանձնման օր, ամիս, տարի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Հանձնողի ստորագրությունը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Նշումներ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D6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1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EC0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2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BFD58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0002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3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7C4E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72BD53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76512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3AF5B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192E1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012D6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64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6B74F3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5E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96B764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8524EC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56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6F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494B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D4B60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3AD09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9D8CC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2DBA4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CDD134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E62C4D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3FF184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6CDCE9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595766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7044DF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2026-04-03T19:15:08+04:00</dcterms:created>
  <dcterms:modified xsi:type="dcterms:W3CDTF">2026-04-03T19:15:08+04:00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