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Թանկարժեք մետաղների մասին օրենքում լրացում կատարելու մասին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 </w:t>
      </w:r>
      <w:r>
        <w:rPr>
          <w:b w:val="1"/>
          <w:bCs w:val="1"/>
        </w:rPr>
        <w:t xml:space="preserve">Ր</w:t>
      </w:r>
      <w:r>
        <w:rPr/>
        <w:t xml:space="preserve"> </w:t>
      </w:r>
      <w:r>
        <w:rPr>
          <w:b w:val="1"/>
          <w:bCs w:val="1"/>
        </w:rPr>
        <w:t xml:space="preserve">Ե</w:t>
      </w:r>
      <w:r>
        <w:rPr/>
        <w:t xml:space="preserve"> </w:t>
      </w:r>
      <w:r>
        <w:rPr>
          <w:b w:val="1"/>
          <w:bCs w:val="1"/>
        </w:rPr>
        <w:t xml:space="preserve">Ն</w:t>
      </w:r>
      <w:r>
        <w:rPr/>
        <w:t xml:space="preserve"> </w:t>
      </w:r>
      <w:r>
        <w:rPr>
          <w:b w:val="1"/>
          <w:bCs w:val="1"/>
        </w:rPr>
        <w:t xml:space="preserve">Ք</w:t>
      </w:r>
      <w:r>
        <w:rPr/>
        <w:t xml:space="preserve"> 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                                     «ԹԱՆԿԱՐԺԵՔ</w:t>
      </w:r>
      <w:r>
        <w:rPr/>
        <w:t xml:space="preserve"> </w:t>
      </w:r>
      <w:r>
        <w:rPr>
          <w:b w:val="1"/>
          <w:bCs w:val="1"/>
        </w:rPr>
        <w:t xml:space="preserve">ՄԵՏԱՂՆԵՐԻ</w:t>
      </w:r>
      <w:r>
        <w:rPr/>
        <w:t xml:space="preserve"> </w:t>
      </w:r>
      <w:r>
        <w:rPr>
          <w:b w:val="1"/>
          <w:bCs w:val="1"/>
        </w:rPr>
        <w:t xml:space="preserve">ՄԱՍԻՆ»</w:t>
      </w:r>
      <w:r>
        <w:rPr/>
        <w:t xml:space="preserve"> </w:t>
      </w:r>
      <w:r>
        <w:rPr>
          <w:b w:val="1"/>
          <w:bCs w:val="1"/>
        </w:rPr>
        <w:t xml:space="preserve">ՕՐԵՆՔՈՒՄ</w:t>
      </w:r>
      <w:r>
        <w:rPr/>
        <w:t xml:space="preserve"> </w:t>
      </w:r>
      <w:r>
        <w:rPr>
          <w:b w:val="1"/>
          <w:bCs w:val="1"/>
        </w:rPr>
        <w:t xml:space="preserve">ԼՐԱՑՈՒՄ</w:t>
      </w:r>
      <w:r>
        <w:rPr/>
        <w:t xml:space="preserve"> </w:t>
      </w:r>
      <w:r>
        <w:rPr>
          <w:b w:val="1"/>
          <w:bCs w:val="1"/>
        </w:rPr>
        <w:t xml:space="preserve">ԿԱՏԱՐԵԼՈՒ</w:t>
      </w:r>
      <w:r>
        <w:rPr/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«Թանկարժեք մետաղների մասին» 2006 թվականի մայիսի 23-ի  ՀՕ-83-Ն օրենքի 6-րդ հոդվածը  լրացնել 1․1-ին մասով՝ հետևյալ բովանդակությամբ․</w:t>
      </w:r>
    </w:p>
    <w:p>
      <w:pPr/>
      <w:r>
        <w:rPr/>
        <w:t xml:space="preserve">«1․1 Թանկարժեք մետաղներից պատրաստված իրերի հարգորոշման և հարգադրոշմման գործունեության համար օգտագործվող սարքավորումների փորձաքննության իրականացման կարգը սահմանվում է լիազոր մարմնի կողմից։»։</w:t>
      </w:r>
    </w:p>
    <w:p>
      <w:pPr/>
      <w:r>
        <w:rPr>
          <w:b w:val="1"/>
          <w:bCs w:val="1"/>
        </w:rPr>
        <w:t xml:space="preserve">Հոդված 2. </w:t>
      </w:r>
      <w:r>
        <w:rPr/>
        <w:t xml:space="preserve">Սույն օրենքն ուժի մեջ է մտնում պաշտոնական հրապարակմանը հաջորդող օրվանից:</w:t>
      </w:r>
    </w:p>
    <w:p>
      <w:pPr>
        <w:jc w:val="end"/>
      </w:pPr>
      <w:r>
        <w:rPr/>
        <w:t xml:space="preserve">                                                                                                                                                             Հանրապետության նախագահ                              Վ. Խաչատուրյան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2026-04-03T23:23:51+04:00</dcterms:created>
  <dcterms:modified xsi:type="dcterms:W3CDTF">2026-04-03T23:23:51+04:00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