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ԷԿՈՊԱՐԵԿԱՅԻՆ ԾԱՌԱՅՈՂԻ ՀԱՏՈՒԿ  ՈՒՍՈՒՑՄԱՆ ԾՐԱԳԻՐԸ ԵՎ ՍՏՈՒԳՈՒՄՆԵՐ ԱՆՑԿԱՑՆԵԼՈՒ ԿԱՐԳԸ ՍԱՀՄԱՆԵԼՈՒ ՄԱՍԻՆ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ԾԱՌԱՅՈՂԻ ՀԱՏՈՒԿ  </w:t>
      </w:r>
      <w:r>
        <w:rPr>
          <w:b w:val="1"/>
          <w:bCs w:val="1"/>
        </w:rPr>
        <w:t xml:space="preserve">ՈՒՍՈՒՑՄԱՆ ԾՐԱԳԻՐԸ ԵՎ ՍՏՈՒԳՈՒՄՆԵՐ ԱՆՑԿԱՑՆԵԼՈՒ</w:t>
      </w:r>
      <w:r>
        <w:rPr>
          <w:b w:val="1"/>
          <w:bCs w:val="1"/>
        </w:rPr>
        <w:t xml:space="preserve"> ԿԱՐԳԸ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19-րդ հոդվածի 2-րդ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էկոպարեկային ծառայողի հատուկ ուսուցման ծրագիրը և ստուգումներ անցկացնելու կարգը՝ համաձայն հավելվածի.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Հավելված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202</w:t>
            </w:r>
            <w:r>
              <w:rPr>
                <w:b w:val="1"/>
                <w:bCs w:val="1"/>
              </w:rPr>
              <w:t xml:space="preserve">4</w:t>
            </w:r>
            <w:r>
              <w:rPr>
                <w:b w:val="1"/>
                <w:bCs w:val="1"/>
              </w:rPr>
              <w:t xml:space="preserve"> թվականի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_____________ ___-ի N __-Ն որոշման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</w:t>
      </w:r>
      <w:r>
        <w:rPr/>
        <w:t xml:space="preserve"> </w:t>
      </w:r>
      <w:r>
        <w:rPr>
          <w:b w:val="1"/>
          <w:bCs w:val="1"/>
        </w:rPr>
        <w:t xml:space="preserve">ԾԱՌԱՅՈՂԻ</w:t>
      </w:r>
      <w:r>
        <w:rPr/>
        <w:t xml:space="preserve"> </w:t>
      </w:r>
      <w:r>
        <w:rPr>
          <w:b w:val="1"/>
          <w:bCs w:val="1"/>
        </w:rPr>
        <w:t xml:space="preserve">ՀԱՏՈՒԿ </w:t>
      </w:r>
      <w:r>
        <w:rPr>
          <w:b w:val="1"/>
          <w:bCs w:val="1"/>
        </w:rPr>
        <w:t xml:space="preserve">ՈՒՍՈՒՑՄԱՆ ԾՐԱԳԻՐԸ ԵՎ ՍՏՈՒԳՈՒՄՆԵՐ ԱՆՑԿԱՑՆԵԼՈՒ ԿԱՐԳԸ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 ԸՆԴՀԱՆՈՒՐ ԴՐՈՒՅԹՆԵՐ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հավելվածով սահմանվում են էկոպարեկային ծառայությունում (այսուհետ՝ Ծառայություն) սահմանված պաշտոն զբաղեցնող և «Էկոպարեկային ծառայության մասին» օրենքով (այսուհետ՝ Օրենք) սահմանված դեպքերում ֆիզիկականուժ, հատուկ միջոցներ ու զենք գործադրելու լիազորություն ունեցող անձանց (այսուհետ՝ ծառայող) հատուկ ուսուցման ծրագիրը և ստուգումներ անցկացնելու կարգի հետ կապված հարաբերությունները։</w:t>
      </w:r>
    </w:p>
    <w:p>
      <w:pPr>
        <w:numPr>
          <w:ilvl w:val="0"/>
          <w:numId w:val="4"/>
        </w:numPr>
      </w:pPr>
      <w:r>
        <w:rPr/>
        <w:t xml:space="preserve">Ծառայողի հատուկ ուսուցումը ֆիզիկական ուժի, հատուկ միջոցների և հրազենի գործադրման անհրաժեշտություն առաջացնող իրադրություններում գործելու կարողությունների զարգացման և Օրենքից բխող ամենօրյա ծառայողական խնդիրների պատշաճ իրականացման համար անհրաժեշտ ֆիզիկական և կրակային պատրաստվածությունն ապահովելու նպատակով պարապմունքների (դասընթացների) իրականացումն է: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ՀԱՏՈՒԿ ՈՒՍՈՒՑՄԱՆ ԾՐԱԳԻՐԸ</w:t>
      </w:r>
    </w:p>
    <w:p>
      <w:pPr/>
      <w:r>
        <w:rPr/>
        <w:t xml:space="preserve"> </w:t>
      </w:r>
    </w:p>
    <w:p>
      <w:pPr/>
      <w:r>
        <w:rPr/>
        <w:t xml:space="preserve">3․ Հատուկ ուսուցումը ներառում է տեսական և գործնական  մաս:</w:t>
      </w:r>
    </w:p>
    <w:p>
      <w:pPr/>
      <w:r>
        <w:rPr/>
        <w:t xml:space="preserve">4․ Հատուկ ուսուցման ժամկետը 5 աշխատանքային օր է։</w:t>
      </w:r>
    </w:p>
    <w:p>
      <w:pPr/>
      <w:r>
        <w:rPr/>
        <w:t xml:space="preserve">5․ Հատուկ ուսուցումն իրականացվում է ուսումնական հաստատությունում՝ ծառայողի՝ կրակային, ֆիզիկական և տեխնիկական պատրաստականությանը վերաբերող հմտությունների շարունակական զարգացման և կատարելագործման նպատակով։</w:t>
      </w:r>
    </w:p>
    <w:p>
      <w:pPr/>
      <w:r>
        <w:rPr/>
        <w:t xml:space="preserve">6․ Հատուկ ուսուցման ծրագիրը ներառում է՝</w:t>
      </w:r>
    </w:p>
    <w:p>
      <w:pPr/>
      <w:r>
        <w:rPr/>
        <w:t xml:space="preserve">1) տեսական և գործնական պարապմունքների ցանկը․</w:t>
      </w:r>
    </w:p>
    <w:p>
      <w:pPr/>
      <w:r>
        <w:rPr/>
        <w:t xml:space="preserve">2) տեսական և գործնական պարապմունքների ընդհանուր ժամաքանակը։</w:t>
      </w:r>
    </w:p>
    <w:p>
      <w:pPr/>
      <w:r>
        <w:rPr/>
        <w:t xml:space="preserve">14․ Հատուկ ուսուցման ծրագիրը սահմանված է սույն հավելվածի Ձև-ով։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ՀԱՏՈՒԿ ՈՒՍՈՒՑՄԱՆ ՍՏՈՒԳԱՐՔԻ ԿԱԶՄԱԿԵՐՊՈՒՄԸ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ԱՆՑԿԱՑՈՒՄԸ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7․ Ստուգարքը հատուկ ուսուցման գործընթացի ավարտական մասն է, որի նպատակը հատուկ ուսուցում անցնող ծառայողների ուսուցման արդյունավետության ստուգումն ու գնահատումն է, որի արդյունքում ծառայողը ստանում է դրական՝ «ստուգված» կամ բացասական՝ «չստուգված» գնահատական:</w:t>
      </w:r>
    </w:p>
    <w:p>
      <w:pPr/>
      <w:r>
        <w:rPr/>
        <w:t xml:space="preserve">8․ Ծառայողը համարվում է հատուկ ուսուցումը չանցած, եթե՝</w:t>
      </w:r>
    </w:p>
    <w:p>
      <w:pPr/>
      <w:r>
        <w:rPr/>
        <w:t xml:space="preserve">1) բաց է թողել ընդհանուր ժամաքանակի քսան տոկոսից ավելին.</w:t>
      </w:r>
    </w:p>
    <w:p>
      <w:pPr/>
      <w:r>
        <w:rPr/>
        <w:t xml:space="preserve">2) ստուգարքի արդյունքում ստացել է «չստուգված» գնահատական:</w:t>
      </w:r>
    </w:p>
    <w:p>
      <w:pPr/>
      <w:r>
        <w:rPr/>
        <w:t xml:space="preserve">9․ Հատուկ ուսուցման դասընթացներից հարգելի բացակայելու դեպքում ծառայողը ներգրավվում է հատուկ ուսուցման առաջիկա դասընթացին։</w:t>
      </w:r>
    </w:p>
    <w:p>
      <w:pPr/>
      <w:r>
        <w:rPr/>
        <w:t xml:space="preserve">10․ Ուսումնական հաստատության կողմից հատուկ ուսուցումն անցած ծառայողին տրվում է համապատասխան վկայական:</w:t>
      </w:r>
    </w:p>
    <w:p>
      <w:pPr/>
      <w:r>
        <w:rPr/>
        <w:t xml:space="preserve">11․ Հատուկ ուսուցման ստուգարքն անցկացվում է երեք փուլով՝</w:t>
      </w:r>
    </w:p>
    <w:p>
      <w:pPr/>
      <w:r>
        <w:rPr/>
        <w:t xml:space="preserve">1) թեստավորում՝ ստուգվում է ծառայողներին ուսումնական դասընթացի ընթացքում մատուցված տեսական գիտելիքների յուրացման մակարդակը.</w:t>
      </w:r>
    </w:p>
    <w:p>
      <w:pPr/>
      <w:r>
        <w:rPr/>
        <w:t xml:space="preserve">2) ֆիզիկական պատրաստվածության ստուգում՝ Հայաստանի Հանրապետության շրջակա միջավայրի նախարարի կողմից հաստատած նորմատիվներին (այսուհետ՝ նորմատիվ) համապատասխան ֆիզիկական վարժությունների կատարում.</w:t>
      </w:r>
    </w:p>
    <w:p>
      <w:pPr/>
      <w:r>
        <w:rPr/>
        <w:t xml:space="preserve">3) կրակային պատրաստվածության ստուգում՝ Հայաստանի Հանրապետության շրջակա միջավայրի նախարարի կողմից հաստատած նորմատիվներին համապատասխան կրակային (հրաձգության) վարժաձևերի կատարում:</w:t>
      </w:r>
    </w:p>
    <w:p>
      <w:pPr/>
      <w:r>
        <w:rPr/>
        <w:t xml:space="preserve">12․ Ծառայողը մասնակցում է հատուկ ուսուցման ստուգարքի յուրաքանչյուր փուլին՝ ըստ սույն կարգի 11-րդ կետում նշված հերթականության, եթե ծառայողը ստուգարքի նախորդ փուլի ստուգման արդյունքում գնահատվել է «ստուգված»:</w:t>
      </w:r>
    </w:p>
    <w:p>
      <w:pPr/>
      <w:r>
        <w:rPr/>
        <w:t xml:space="preserve">13․ Հատուկ ուսուցման ստուգարքի գնահատականը ձևավորվում է թեստավորման, ֆիզիկական և կրակային պատրաստվածության առաջադրանքների արդյունքներով: Գնահատականը համարվում է դրական, եթե ծառայողը թեստային առաջադրանքների 15 հնարավորից 10 և ավելի միավոր է հավաքել, ինչպես նաև հանձնել է Հայաստանի Հանրապետության շրջակա միջավայրի նախարարի կողմից հաստատած նորմատիվներին համապատասխան ֆիզիկական վարժությունները և կրակային վարժաձևերը (իրենց համապատասխան միավորներով): Նշված չափանիշներից պակաս արդյունքը համարվում է բացասական գնահատական:</w:t>
      </w:r>
    </w:p>
    <w:p>
      <w:pPr>
        <w:numPr>
          <w:ilvl w:val="0"/>
          <w:numId w:val="7"/>
        </w:numPr>
      </w:pPr>
      <w:r>
        <w:rPr/>
        <w:t xml:space="preserve">Հատուկ ուսուցման ստուգարքին չի կարող մասնակցել ընդհանուր ժամաքանակի քսան տոկոսից ավելին բաց թողած ծառայողը:</w:t>
      </w:r>
    </w:p>
    <w:p>
      <w:pPr>
        <w:numPr>
          <w:ilvl w:val="0"/>
          <w:numId w:val="7"/>
        </w:numPr>
      </w:pPr>
      <w:r>
        <w:rPr/>
        <w:t xml:space="preserve">Ֆիզիկական պատրաստվածության ստուգումն անցկացվում է ծառայողի կողմից ֆիզիկական վարժություններից համապատասխան նորմատիվները կատարելու (հանձնելու) միջոցով:</w:t>
      </w:r>
    </w:p>
    <w:p>
      <w:pPr>
        <w:numPr>
          <w:ilvl w:val="0"/>
          <w:numId w:val="7"/>
        </w:numPr>
      </w:pPr>
      <w:r>
        <w:rPr/>
        <w:t xml:space="preserve">16. Կրակային պատրաստվածության ստուգումն անցկացվում է ատրճանակից հրաձգություն անցկացնելու միջոցով՝ համապատասխան վարժաձևերով սահմանված կրակային նորմատիվները հանձնելու միջոցով:</w:t>
      </w:r>
    </w:p>
    <w:p>
      <w:pPr>
        <w:numPr>
          <w:ilvl w:val="0"/>
          <w:numId w:val="7"/>
        </w:numPr>
      </w:pPr>
      <w:r>
        <w:rPr/>
        <w:t xml:space="preserve">Հատուկ ուսուցման ստուգարքից (ներառյալ դրա փուլերից) հարգելի բացակայելու դեպքում՝ Ծառայության պետի կողմից ծառայողին հնարավորություն է տրվում մասնակցել հաջորդ հատուկ ուսուցման ստուգարքին։</w:t>
      </w:r>
    </w:p>
    <w:p>
      <w:pPr/>
      <w:r>
        <w:rPr/>
        <w:t xml:space="preserve">18․ Հատուկ ուսուցումը չանցած Ծառայողը ազատվում է զբաղեցրած պաշտոնից ՀՀ աշխատանքային օրենսդրության համաձայն՝ զբաղեցրած պաշտոնին չհամապատասխանելու հիմքով։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ԷԿՈՊԱՐԵԿԱՅԻՆ ԾԱՌԱՅՈՂԻ ՀԱՏՈՒԿ ՈՒՍՈՒՑՄԱՆ ԾՐԱԳԻՐԸ</w:t>
      </w:r>
    </w:p>
    <w:p>
      <w:pPr/>
      <w:r>
        <w:rPr/>
        <w:t xml:space="preserve"> </w:t>
      </w:r>
    </w:p>
    <w:tbl>
      <w:tblGrid>
        <w:gridCol w:w="705" w:type="dxa"/>
        <w:gridCol w:w="3690" w:type="dxa"/>
        <w:gridCol w:w="1410" w:type="dxa"/>
        <w:gridCol w:w="2415" w:type="dxa"/>
        <w:gridCol w:w="1830" w:type="dxa"/>
      </w:tblGrid>
      <w:tblPr>
        <w:tblW w:w="1006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90" w:type="dxa"/>
            <w:noWrap/>
          </w:tcPr>
          <w:p>
            <w:pPr/>
            <w:r>
              <w:rPr>
                <w:b w:val="1"/>
                <w:bCs w:val="1"/>
              </w:rPr>
              <w:t xml:space="preserve">ԹԵՄԱ</w:t>
            </w:r>
          </w:p>
        </w:tc>
        <w:tc>
          <w:tcPr>
            <w:tcW w:w="567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ՈՒՍՈՒՑՄԱՆ ԾԱՎԱԼԸ </w:t>
            </w:r>
          </w:p>
          <w:p>
            <w:pPr/>
            <w:r>
              <w:rPr>
                <w:b w:val="1"/>
                <w:bCs w:val="1"/>
              </w:rPr>
              <w:t xml:space="preserve">(ԱԿԱԴԵՄԻԱԿԱՆ ԺԱՄ)</w:t>
            </w:r>
          </w:p>
        </w:tc>
      </w:tr>
      <w:tr>
        <w:trPr/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424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ԱՅԴ ԹՎՈՒՄ</w:t>
            </w:r>
          </w:p>
        </w:tc>
      </w:tr>
      <w:tr>
        <w:trPr/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ԴԱՍԱԽՈՍՈՒԹՅՈՒՆ</w:t>
            </w:r>
          </w:p>
        </w:tc>
        <w:tc>
          <w:tcPr>
            <w:tcW w:w="1830" w:type="dxa"/>
            <w:noWrap/>
          </w:tcPr>
          <w:p>
            <w:pPr/>
            <w:r>
              <w:rPr>
                <w:b w:val="1"/>
                <w:bCs w:val="1"/>
              </w:rPr>
              <w:t xml:space="preserve">ԳՈՐԾՆԱԿԱՆ ՊԱՐԱՊՄՈՒՆՔ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Ընդհանուր ֆիզիկական պատրաստվածություն (վազք, ձգումներ պտտաձողի վրա, սեղմումներ ու հենումներ՝ պառկած և այլն)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Հատուկ ֆիզիկական պատրաստվածություն (ինքնապաշտպան հնարքներ՝ ձեռնամարտի կիրառումով, հատուկ միջոցներ կիրառելու հնարքները և վարժաձևերը)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Ֆիզիկական ուժի, հատուկ միջոցների և զենքի գործադրման կարգը, պայմանները և սահմանները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Հրազենային վնասվածքներ, արցունքաբեր և գրգռիչ նյութերից խոցված, ինչպես նաև՝ հատուկ միջոցների կիրառման հետ կապված այլ վնասվածքներ ստացած անձանց առաջին օգնություն ցույց տալը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Գործնական հրաձգություն՝ ծառայողական կարճ ակոսափող հրազենի (ատրճանակի) պրակտիկ կիրառման հնարքները և վարժաձևերը 24 փամփուշտ կրակելու հնարավորությամբ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Տեղագրություն (GPS տեղորոշում)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3690" w:type="dxa"/>
            <w:noWrap/>
          </w:tcPr>
          <w:p>
            <w:pPr/>
            <w:r>
              <w:rPr/>
              <w:t xml:space="preserve">Կապի միջոցներ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69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32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C3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2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E5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BFA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EAE3C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B19A9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2026-03-31T19:09:49+04:00</dcterms:created>
  <dcterms:modified xsi:type="dcterms:W3CDTF">2026-03-31T19:09:49+04:00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