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 ԵՎ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ՀԱՐԿԱՅԻՆ ՕՐԵՆՍԳՐՔՈՒՄ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2016 թվականի հոկտեմբերի 4-ի Հայաստանի Հանրապետության հարկային օրենսգրքի (այսուհետ՝ Օրենգիրք) 191-րդ հոդվածում՝</w:t>
      </w:r>
    </w:p>
    <w:p>
      <w:pPr/>
      <w:r>
        <w:rPr/>
        <w:t xml:space="preserve">1) 1-ին մասը լրացնել հետևյալ բովանդակությամբ 7-րդ կետով․</w:t>
      </w:r>
    </w:p>
    <w:p>
      <w:pPr/>
      <w:r>
        <w:rPr/>
        <w:t xml:space="preserve">«7) Դեպի երրորդ երկիր Հայաստանի Հանրապետության տարածքով տարանց­­ման նպատակով բեռնատար տրանսպորտային միջոցներով Հայաստանի Հան­րա­պե­տու­թյուն մուտք գործող ճանա­պարհային հարկ վճարողները՝ Հայաստանի Հանրապետության Կառավարության սահ­մա­նած՝ բեռ­նա­տար տրանսպոր­տային միջոցի գրանցման (հաշվառ­ման) երկրին, տեսակին և քանա­կին համա­պա­տասխան։»:</w:t>
      </w:r>
    </w:p>
    <w:p>
      <w:pPr/>
      <w:r>
        <w:rPr/>
        <w:t xml:space="preserve">2) 2-րդ մասի 6-րդ կետը շարադրել հետևյալ խմբագրությամբ.</w:t>
      </w:r>
    </w:p>
    <w:p>
      <w:pPr/>
      <w:r>
        <w:rPr/>
        <w:t xml:space="preserve">«6)  սույն հոդվածի 1-ին մասի 7-րդ կետով նախատեսված դեպքերում այլ երկր­նե­րում գրանցված տրանսպորտային միջոցներով Հայաստանի Հանրապետություն մուտք գոր­ծող ճանապարհային հարկ վճարողների համար` տրանսպորտային միջոցների գրանցման (հաշվառման) վկայագիրը։»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 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օրվանից։</w:t>
      </w:r>
    </w:p>
    <w:p>
      <w:pPr>
        <w:numPr>
          <w:ilvl w:val="0"/>
          <w:numId w:val="2"/>
        </w:numPr>
      </w:pPr>
      <w:r>
        <w:rPr/>
        <w:t xml:space="preserve">Սույն օրենքի ընդունմամբ պայմանավորված՝ համապատասխան ենթաօրենսդրական նորմատիվ իրավական ակտն ընդունվում է սույն օրենքն ընդունվելուց հետո՝ չորս ամսվա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3E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2026-04-04T01:24:10+04:00</dcterms:created>
  <dcterms:modified xsi:type="dcterms:W3CDTF">2026-04-04T01:24:10+04:00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