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ՎԱՐՉԱԿԱՆ ԻՐԱՎԱԽԱԽՏՈՒՄՆԵՐԻ ՎԵՐԱԲԵՐՅԱԼ> ՀԱՅԱՍՏԱՆԻ ՀԱՆՐԱՊԵՏՈՒԹՅԱՆ ՕՐԵՆՍԳՐՔՈՒՄ ՓՈՓՈԽՈՒԹՅՈՒՆ  ԿԱՏԱՐԵԼՈՒ ՄԱՍԻՆ> ՀԱՅԱՍՏԱՆԻ ՀԱՆՐԱՊԵՏՈՒԹՅԱՆ  ՕՐԵՆՔԻ ՆԱԽԱԳԻԾ</w:t></w:r><w:bookmarkEnd w:id="0"/></w:p><w:p><w:pPr><w:jc w:val="end"/></w:pPr><w:r><w:rPr/><w:t xml:space="preserve"> </w:t></w:r><w:r><w:rPr><w:b w:val="1"/><w:bCs w:val="1"/></w:rPr><w:t xml:space="preserve">ՆԱԽԱԳԻԾ</w:t></w:r></w:p><w:p><w:pPr><w:jc w:val="center"/></w:pPr><w:r><w:rPr><w:b w:val="1"/><w:bCs w:val="1"/></w:rPr><w:t xml:space="preserve">ՀԱՅԱՍՏԱՆԻ ՀԱՆՐԱՊԵՏՈՒԹՅԱՆ</w:t></w:r><w:br/><w:r><w:rPr><w:b w:val="1"/><w:bCs w:val="1"/></w:rPr><w:t xml:space="preserve"> ՕՐԵՆՔԸ</w:t></w:r></w:p><w:p><w:pPr><w:jc w:val="center"/></w:pPr><w:r><w:rPr><w:b w:val="1"/><w:bCs w:val="1"/></w:rPr><w:t xml:space="preserve"><ՎԱՐՉԱԿԱՆ ԻՐԱՎԱԽԱԽՏՈՒՄՆԵՐԻ ՎԵՐԱԲԵՐՅԱԼ> ՀԱՅԱՍՏԱՆԻ ՀԱՆՐԱՊԵՏՈՒԹՅԱՆ ՕՐԵՆՍԳՐՔՈՒՄ </w:t></w:r><w:r><w:rPr><w:b w:val="1"/><w:bCs w:val="1"/></w:rPr><w:t xml:space="preserve">ՓՈՓՈԽՈՒԹՅՈՒՆ </w:t></w:r><w:r><w:rPr><w:b w:val="1"/><w:bCs w:val="1"/></w:rPr><w:t xml:space="preserve">ԿԱՏԱՐԵԼՈՒ ՄԱՍԻՆ></w:t></w:r></w:p><w:p><w:pPr><w:jc w:val="both"/></w:pPr><w:r><w:rPr/><w:t xml:space="preserve"> </w:t></w:r></w:p><w:p><w:pPr><w:jc w:val="both"/></w:pPr><w:r><w:rPr><w:b w:val="1"/><w:bCs w:val="1"/></w:rPr><w:t xml:space="preserve">Հոդված 1.</w:t></w:r><w:r><w:rPr><w:b w:val="1"/><w:bCs w:val="1"/></w:rPr><w:t xml:space="preserve"> </w:t></w:r></w:p><w:p><w:pPr><w:jc w:val="both"/></w:pPr><w:r><w:rPr/><w:t xml:space="preserve">1. Օրենսգրքի 157</w:t></w:r><w:r><w:rPr><w:vertAlign w:val="superscript"/></w:rPr><w:t xml:space="preserve">6</w:t></w:r><w:r><w:rPr/><w:t xml:space="preserve"> հոդվածը շարադրել հետևյալ խմբագրությամբ.</w:t></w:r></w:p><w:p><w:pPr><w:jc w:val="both"/></w:pPr><w:r><w:rPr/><w:t xml:space="preserve"><</w:t></w:r><w:r><w:rPr><w:b w:val="1"/><w:bCs w:val="1"/></w:rPr><w:t xml:space="preserve">Հոդված 157</w:t></w:r><w:r><w:rPr><w:b w:val="1"/><w:bCs w:val="1"/><w:vertAlign w:val="superscript"/></w:rPr><w:t xml:space="preserve">6</w:t></w:r><w:r><w:rPr><w:b w:val="1"/><w:bCs w:val="1"/></w:rPr><w:t xml:space="preserve">. Շինարարության (տեղադրման) և քանդման  (ապամոնտաժման)  աշխատանքների համար ակնհայտ ոչ իրավաչափ թույլտվություններ տրամադրելը կամ շինարարության (տեղադրման) և քանդման  (ապամոնտաժման)  թույլտվություններ տրամադրելու սահմանված կարգը խախտելը</w:t></w:r></w:p><w:p><w:pPr><w:jc w:val="both"/></w:pPr><w:r><w:rPr/><w:t xml:space="preserve">        Շինարարության (տեղադրման) և քանդման  (ապամոնտաժման)  աշխատանքների համար ակնհայտ ոչ իրավաչափ թույլտվություններ տրամադրելը կամ շինարարության (տեղադրման) և քանդման  (ապամոնտաժման)  թույլտվություններ տրամադրելու սահմանված կարգը խախտելը պաշտոնատար անձի նկատմամբ առաջացնում է.</w:t></w:r></w:p><w:p><w:pPr><w:jc w:val="both"/></w:pPr><w:r><w:rPr/><w:t xml:space="preserve">-  տուգանքի նշանակում` սահմանված նվազագույն աշխատավարձի հազարապատիկի չափով,</w:t></w:r></w:p><w:p><w:pPr><w:jc w:val="both"/></w:pPr><w:r><w:rPr/><w:t xml:space="preserve">-  պարտավորություն՝ օրենքի խախտմամբ տրամադրված շինարարության (տեղադրման) և քանդման (ապամոնտաժման) թույլտվություններն  անվավեր  և առոչինչ ճանաչելու վերաբերյալ,</w:t></w:r></w:p><w:p><w:pPr><w:jc w:val="both"/></w:pPr><w:r><w:rPr/><w:t xml:space="preserve">-  պարտավորություն՝ ոչ իրավաչափ վարչարարության հետևանքով վարչարարությամբ պատճառված վնասի գույքային կամ դրամական հատուցում վարչական ակտի հասցեատիրոջը՝ հատուցման մասին պահանջը ստանալուց հետո 3 տարվա ընթացքում՝ ամենամսյա վճարումների տեսքով և սահմանված ժամանակացույցի համաձայն:>:</w:t></w:r></w:p><w:p><w:pPr><w:jc w:val="both"/></w:pPr><w:r><w:rPr><w:b w:val="1"/><w:bCs w:val="1"/></w:rPr><w:t xml:space="preserve">Հոդված 2.</w:t></w:r><w:r><w:rPr/><w:t xml:space="preserve"> Սույն օրենքով սահմանված պահանջները չեն տարածվում մինչև սույն օրենքն ուժի մեջ մտնելն սկսված և դեռևս չավարտված քաղաքաշինական ծրագրերի (նախագծային և շինարարական) գնման գործընթացների, ինչպես նաև կնքված և գործող պայմանագրերի վրա:</w:t></w:r><w:r><w:rPr><w:b w:val="1"/><w:bCs w:val="1"/></w:rPr><w:t xml:space="preserve">     </w:t></w:r></w:p><w:p><w:pPr><w:jc w:val="both"/></w:pPr><w:r><w:rPr><w:b w:val="1"/><w:bCs w:val="1"/></w:rPr><w:t xml:space="preserve">Հոդված 3</w:t></w:r><w:r><w:rPr><w:b w:val="1"/><w:bCs w:val="1"/></w:rPr><w:t xml:space="preserve">.</w:t></w:r><w:r><w:rPr><w:b w:val="1"/><w:bCs w:val="1"/></w:rPr><w:t xml:space="preserve"> </w:t></w:r><w:r><w:rPr/><w:t xml:space="preserve">Սույն օրենքն ուժի մեջ է մտնում պաշտոնական հրապարակման օրվան հաջորդող օրվանից: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2026-03-31T04:30:56+04:00</dcterms:created>
  <dcterms:modified xsi:type="dcterms:W3CDTF">2026-03-31T04:30:56+04:00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