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«ՔԱՂԱՔԱՇԻՆՈՒԹՅԱՆ ՄԱՍԻՆ» ՀԱՅԱՍՏԱՆԻ ՀԱՆՐԱՊԵՏՈՒԹՅԱՆ ՕՐԵՆՔՈՒՄ ԼՐԱՑՈՒՄՆԵՐ ԵՎ ՓՈՓՈԽՈՒԹՅՈՒՆ ԿԱՏԱՐԵԼՈՒ ՄԱՍԻՆ» ՕՐԵՆՔԻ ՆԱԽԱԳԻԾ</w:t>
      </w:r>
      <w:bookmarkEnd w:id="0"/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ՕՐԵՆՔ</w:t>
      </w:r>
      <w:r>
        <w:rPr>
          <w:b w:val="1"/>
          <w:bCs w:val="1"/>
        </w:rPr>
        <w:t xml:space="preserve">Ը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ՔԱՂԱՔԱՇԻՆՈՒԹՅԱՆ 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ՕՐԵՆՔՈՒՄ </w:t>
      </w:r>
    </w:p>
    <w:p>
      <w:pPr>
        <w:jc w:val="center"/>
      </w:pP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ՆԵՐ ԵՎ ՓՈՓՈԽՈՒԹՅՈՒՆ</w:t>
      </w:r>
      <w:r>
        <w:rPr>
          <w:b w:val="1"/>
          <w:bCs w:val="1"/>
        </w:rPr>
        <w:t xml:space="preserve"> ԿԱՏԱՐԵԼՈՒ ՄԱՍԻՆ»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</w:p>
    <w:p>
      <w:pPr/>
      <w:r>
        <w:rPr/>
        <w:t xml:space="preserve">        1995 թվականի մայիսի 5-ի «Քաղաքաշինության մասին» Հայաստանի Հանրապետության օրենքի (այսուհետ՝ Օրենք) 10-րդ հոդվածի 1-ին մասի 4-րդ կետը` «ոչ պիտանի ճանաչելու կարգը» բառերից հետո լրացնել  «, լիցենզավորված կազմակերպության եզրակացության և միջգերատեսչական հանձնաժողովի որոշման օրինակելի ձևերը» բառերը: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</w:p>
    <w:p>
      <w:pPr/>
      <w:r>
        <w:rPr/>
        <w:t xml:space="preserve">Օրենքի 10-րդ հոդվածի 1-ին մասի 10-րդ կետն ուժը կորցրած ճանաչել:</w:t>
      </w:r>
    </w:p>
    <w:p>
      <w:pPr/>
      <w:r>
        <w:rPr>
          <w:b w:val="1"/>
          <w:bCs w:val="1"/>
        </w:rPr>
        <w:t xml:space="preserve">Հոդված 3.</w:t>
      </w:r>
      <w:r>
        <w:rPr>
          <w:b w:val="1"/>
          <w:bCs w:val="1"/>
        </w:rPr>
        <w:t xml:space="preserve"> </w:t>
      </w:r>
    </w:p>
    <w:p>
      <w:pPr/>
      <w:r>
        <w:rPr/>
        <w:t xml:space="preserve">Օրենքի 10.1-ին հոդվածը՝ 44-րդ կետից հետո լրացնել նոր՝ 44.1-ին կետով, հետևյալ բովանդակությամբ. «մշակում և հաստատում է շինարարության ոլորտում գնագոյացման քաղաքականությունը (ռազմավարությունը), շինարարության գնագոյացման մեթոդաբանության արդիականացման հայեցակարգը և դրանից բխող միջոցառումների ծրագիրը,  հաստատում է գնագոյացման նախահաշվային նորմերը և դրանց կիրառման կարգերը.»: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 4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</w:t>
      </w:r>
    </w:p>
    <w:p>
      <w:pPr/>
      <w:r>
        <w:rPr/>
        <w:t xml:space="preserve">Սույն Oրենքն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2026-04-01T13:37:46+04:00</dcterms:created>
  <dcterms:modified xsi:type="dcterms:W3CDTF">2026-04-01T13:37:46+04:00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