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«Հայաստանի Հանրապետությունում «Արտաքին տնտեսական գործունեության ապրանքային անվանացանկ» (ԱՏԳ ԱԱ) դասակարգչի 2201 10 110 0, 2201 10 190 0, 2201 10 900 0, 2201 90 000 0 ծածկագրերի դասվող ապրանքների՝ Եվրասիական տնտեսական միության շրջանակներում նույնականացման միջոցներով դրոշմավորման կանոնները հաստատելու մասին» ՀՀ կառավարության որոշման նախագիծ</w:t></w:r><w:bookmarkEnd w:id="0"/></w:p><w:p><w:pPr><w:jc w:val="end"/></w:pPr><w:r><w:rPr><w:b w:val="1"/><w:bCs w:val="1"/></w:rPr><w:t xml:space="preserve">ՆԱԽԱԳԻԾ</w:t></w:r></w:p><w:p><w:pPr/><w:r><w:rPr><w:b w:val="1"/><w:bCs w:val="1"/></w:rPr><w:t xml:space="preserve"> </w:t></w:r></w:p><w:p><w:pPr><w:jc w:val="center"/></w:pPr><w:r><w:rPr><w:b w:val="1"/><w:bCs w:val="1"/></w:rPr><w:t xml:space="preserve">ՀԱՅԱՍՏԱՆԻ ՀԱՆՐԱՊԵՏՈՒԹՅԱՆ ԿԱՌԱՎԱՐՈՒԹՅՈՒՆ</w:t></w:r></w:p><w:p><w:pPr><w:jc w:val="center"/></w:pPr><w:r><w:rPr><w:b w:val="1"/><w:bCs w:val="1"/></w:rPr><w:t xml:space="preserve">Ո Ր Ո Շ ՈՒ Մ</w:t></w:r></w:p><w:p><w:pPr><w:jc w:val="center"/></w:pPr><w:r><w:rPr><w:b w:val="1"/><w:bCs w:val="1"/></w:rPr><w:t xml:space="preserve">______ _____________ 2024 թվականի N _____-Ն</w:t></w:r></w:p><w:p><w:pPr><w:jc w:val="center"/></w:pPr><w:r><w:rPr/><w:t xml:space="preserve"> </w:t></w:r></w:p><w:p><w:pPr><w:jc w:val="center"/></w:pPr><w:r><w:rPr><w:b w:val="1"/><w:bCs w:val="1"/></w:rPr><w:t xml:space="preserve">ՀԱՅԱՍՏԱՆԻ ՀԱՆՐԱՊԵՏՈՒԹՅՈՒՆՈՒՄ «ԱՐՏԱՔԻՆ ՏՆՏԵՍԱԿԱՆ ԳՈՐԾՈՒՆԵՈՒԹՅԱՆ ԱՊՐԱՆՔԱՅԻՆ ԱՆՎԱՆԱՑԱՆԿ» (ԱՏԳ ԱԱ) ԴԱՍԱԿԱՐԳՉԻ 2201 10 110 0, 2201 10 190 0, 2201 10 900 0, 2201 90 000 0 ԾԱԾԿԱԳՐԵՐԻՆ ԴԱՍՎՈՂ ԱՊՐԱՆՔՆԵՐԻ՝ ԵՎՐԱՍԻԱԿԱՆ ՏՆՏԵՍԱԿԱՆ ՄԻՈՒԹՅԱՆ ՇՐՋԱՆԱԿՆԵՐՈՒՄ ՆՈՒՅՆԱԿԱՆԱՑՄԱՆ ՄԻՋՈՑՆԵՐՈՎ ԴՐՈՇՄԱՎՈՐՄԱՆ ԿԱՆՈՆՆԵՐԸ ՀԱՍՏԱՏԵԼՈՒ ՄԱՍԻՆ</w:t></w:r></w:p><w:p><w:pPr/><w:r><w:rPr><w:b w:val="1"/><w:bCs w:val="1"/></w:rPr><w:t xml:space="preserve"> </w:t></w:r></w:p><w:p><w:pPr/><w:r><w:rPr/><w:t xml:space="preserve">Հիմք ընդունելով 2018 թվականի փետրվարի 2-ի «Եվրասիական տնտեսական միությունում նույնականացման միջոցներով ապրանքների դրոշմավորման մասին» համաձայնագիրը և Հայաստանի Հանրապետության հարկային օրենսգրքի 396․1-ին հոդվածի 2-րդ մասը՝ Հայաստանի Հանրապետության կառավարությունը </w:t></w:r><w:r><w:rPr><w:b w:val="1"/><w:bCs w:val="1"/></w:rPr><w:t xml:space="preserve">որոշում է.</w:t></w:r></w:p><w:p><w:pPr><w:numPr><w:ilvl w:val="0"/><w:numId w:val="2"/></w:numPr></w:pPr><w:r><w:rPr/><w:t xml:space="preserve">Սահմանել, որ Հայաստանի Հանրապետությունում 2024 թվականի փետրվարի 1-ից Հայաստանի Հանրապետության հարկային օրենսգրքի 390-րդ հոդվածի 1-ին մասով սահմանված «Արտաքին տնտեսական գործունեության ապրանքային անվանացանկ» (ԱՏԳ ԱԱ) դասակարգչի 2201 10 110 0, 2201 10 190 0, 2201 10 900 0, 2201 90 000 0 ծածկագրերին դասվող` դրոշմապիտակներով դրոշմավորման ենթակա ապրանքների դրոշմավորումն իրականացվում է համաձայն Եվրասիական տնտեսական հանձնաժողովի խորհրդի կողմից 2021 թվականի մարտի 5-ին հաստատված՝ Եվրասիական տնտեսական միությունում նույնականացման միջոցներով ապրանքների դրոշմավորման համակարգի հիմնական տեխնոլոգիական կազմակերպչական մոդելի (այսուհետ՝ հիմնական մոդել)։</w:t></w:r></w:p><w:p><w:pPr><w:numPr><w:ilvl w:val="0"/><w:numId w:val="2"/></w:numPr></w:pPr><w:r><w:rPr/><w:t xml:space="preserve">Սահմանել, որ Հայաստանի Հանրապետության հարկային օրենսգրքի 390-րդ հոդվածի 1-ին մասով սահմանված՝ ԱՏԳ ԱԱ 2201 10 110 0, 2201 10 190 0, 2201 10 900 0, 2201 90 000 0 ծածկագրին դասվող՝ դրոշմապիտակներով դրոշմավորման ենթակա ապրանքները Հայաստանի Հանրապետության հարկային օրենսգրքով սահմանված կարգով` դրոշմապիտակներով դրոշմավորված լինելու դեպքում կարող են չդրոշմավորվել հիմնական մոդելի համաձայն։</w:t></w:r></w:p><w:p><w:pPr><w:numPr><w:ilvl w:val="0"/><w:numId w:val="2"/></w:numPr></w:pPr><w:r><w:rPr/><w:t xml:space="preserve">Հաստատել Հայաստանի Հանրապետությունում ԱՏԳ ԱԱ 2201 10 110 0, 2201 10 190 0, 2201 10 900 0, 2201 90 000 0 ծածկագրերին դասվող ապրանքների՝ հիմնական մոդելի համաձայն դրոշմավորման կանոնները՝ համաձայն հավելվածի։</w:t></w:r></w:p><w:p><w:pPr><w:numPr><w:ilvl w:val="0"/><w:numId w:val="2"/></w:numPr></w:pPr><w:r><w:rPr/><w:t xml:space="preserve">ԱՏԳ ԱԱ 2201 10 110 0, 2201 10 190 0, 2201 10 900 0, 2201 90 000 0 ծածկագրերին դասվող ապրանքների գրանցման ժամանակ այդ ապրանքների վերաբերյալ տեղեկատվությունը լրացվում է Եվրասիական տնտեսական հանձնաժողովի խորհրդի 2021 թվականի հոկտեմբերի 29-ի թիվ 113 որոշմամբ հաստատված հավելվածին համապատասխան։</w:t></w:r></w:p><w:p><w:pPr><w:numPr><w:ilvl w:val="0"/><w:numId w:val="2"/></w:numPr></w:pPr><w:r><w:rPr/><w:t xml:space="preserve">Սույն որոշումն ուժի մեջ է մտնում պաշտոնական հրապարակմանը հաջորդող օրվանից: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><w:jc w:val="end"/></w:pPr><w:r><w:rPr><w:b w:val="1"/><w:bCs w:val="1"/></w:rPr><w:t xml:space="preserve">Հավելված </w:t></w:r></w:p><w:p><w:pPr><w:jc w:val="end"/></w:pPr><w:r><w:rPr><w:b w:val="1"/><w:bCs w:val="1"/></w:rPr><w:t xml:space="preserve">ՀՀ կառավարության 2024 թվականի</w:t></w:r></w:p><w:p><w:pPr><w:jc w:val="end"/></w:pPr><w:r><w:rPr><w:b w:val="1"/><w:bCs w:val="1"/></w:rPr><w:t xml:space="preserve">____________ ____-ի N____-Ն որոշման</w:t></w:r></w:p><w:p><w:pPr><w:jc w:val="end"/></w:pPr><w:r><w:rPr><w:b w:val="1"/><w:bCs w:val="1"/></w:rPr><w:t xml:space="preserve"> </w:t></w:r></w:p><w:p><w:pPr><w:jc w:val="center"/></w:pPr><w:r><w:rPr><w:b w:val="1"/><w:bCs w:val="1"/></w:rPr><w:t xml:space="preserve">ԿԱՆՈՆՆԵՐ </w:t></w:r></w:p><w:p><w:pPr><w:jc w:val="center"/></w:pPr><w:r><w:rPr><w:b w:val="1"/><w:bCs w:val="1"/></w:rPr><w:t xml:space="preserve">ՀԱՅԱՍՏԱՆԻ ՀԱՆՐԱՊԵՏՈՒԹՅՈՒՆՈՒՄ «ԱՐՏԱՔԻՆ ՏՆՏԵՍԱԿԱՆ ԳՈՐԾՈՒՆԵՈՒԹՅԱՆ ԱՊՐԱՆՔԱՅԻՆ ԱՆՎԱՆԱՑԱՆԿ» (ԱՏԳ ԱԱ) ԴԱՍԱԿԱՐԳՉԻ </w:t></w:r><w:r><w:rPr><w:b w:val="1"/><w:bCs w:val="1"/></w:rPr><w:t xml:space="preserve">2201 10 110 0, 2201 10 190 0, 2201 10 900 0, 2201 90 000 0 </w:t></w:r><w:r><w:rPr><w:b w:val="1"/><w:bCs w:val="1"/></w:rPr><w:t xml:space="preserve">ԾԱԾԿԱԳՐԵՐԻՆ ԴԱՍՎՈՂ ԱՊՐԱՆՔՆԵՐԻ՝ ՀԻՄՆԱԿԱՆ ՄՈԴԵԼԻ ՀԱՄԱՁԱՅՆ ԴՐՈՇՄԱՎՈՐՄԱՆ </w:t></w:r></w:p><w:p><w:pPr/><w:r><w:rPr><w:b w:val="1"/><w:bCs w:val="1"/></w:rPr><w:t xml:space="preserve"> </w:t></w:r></w:p><w:p><w:pPr/><w:r><w:rPr/><w:t xml:space="preserve">1. Սույն կանոններով կարգավորվում են Հայաստանի Հանրապետության հարկային օրենսգրքի (այսուհետ՝ օրենսգիրք) 390-րդ հոդվածի 1-ին մասով սահմանված՝ «Արտաքին տնտեսական գործունեության ապրանքային անվանացանկ» (ԱՏԳ ԱԱ) դասակարգչի 2201 10 110 0, 2201 10 190 0, 2201 10 900 0, 2201 90 000 0 ծածկագրերին դասվող ապրանքների (այսուհետ՝ ջրեր)՝ Եվրասիական տնտեսական հանձնաժողովի խորհրդի կողմից 2021 թվականի մարտի 5-ին հաստատված Եվրասիական տնտեսական միությունում նույնականացման միջոցներով ապրանքների դրոշմավորման համակարգի հիմնական տեխնոլոգիական կազմակերպչական մոդելի (այսուհետ՝ հիմնական մոդել) համաձայն դրոշմավորման հետ կապված հարաբերությունները։</w:t></w:r></w:p><w:p><w:pPr/><w:r><w:rPr/><w:t xml:space="preserve">2. ԱՏԳ ԱԱ 2201 10 1100, 2201 10 1900, 2201 10 9000, 2201 90 0000 ծածկագրերին դասվող ապրանքների դրոշմավորման համար օգտագործվում է նույնականացման միջոց՝ նիշերի եզակի հաջորդականություն, որը ներկայացված է մեքենայական ընթերցման համար հարմար Data Matrix GS1 ձևաչափով երկչափ շտրիխ կոդի տեսքով և ձևավորված է ISO/IEC 16022:2006 միջազգային ստանդարտի պահանջներին համապատասխան «Տեղեկատվական տեխնոլոգիաներ։ Ավտոմատ նույնականացման և տվյալների հավաքագրման տեխնոլոգիաներ: Data Matrix ձևաչափով շտրիխ ծածկագրի սիմվոլիկայի տեխնիկական հատկորոշիչ» կամ դրան նույնական Եվրասիական տնտեսական միության անդամ պետության ազգային ստանդարտի սիմվոլիկայի հստակեցում։ Դրոշմավորման ծածկագիրը նույնականացման միջոցի վերափոխելիս պետք է կիրառվի ECC 200-ի սիմվոլիկան՝ օգտագործելով FNC1 նշանը՝ որպես տվյալների համապատասխանության նշան GS1-ի կիրառման նույնացուցիչների (AI) տիպային ձևաչափին։</w:t></w:r></w:p><w:p><w:pPr/><w:r><w:rPr/><w:t xml:space="preserve">3.</w:t></w:r><w:r><w:rPr><w:b w:val="1"/><w:bCs w:val="1"/></w:rPr><w:t xml:space="preserve"> </w:t></w:r><w:r><w:rPr/><w:t xml:space="preserve">Ջրերի անհատական (սպառողական) փաթեթավորման թվային նույնականացման միջոցը ներառում է դրոշմավորման ծածկագիր՝ բաղկացած տվյալների 3 խմբից, որոնցից առաջինն ու երկրորդը ձևավորում են ջրի անհատական (սպառողական) փաթեթավորման նույնականացման ծածկագիրը, իսկ երրորդ խումբը՝ ստուգման ծածկագիրը: Ընդ որում՝</w:t></w:r></w:p><w:p><w:pPr/><w:r><w:rPr/><w:t xml:space="preserve">1) առաջին խումբը բաղկացած է 14 թվանշանից (առևտրային միավորի գլոբալ նույնականացման համարը (GTIN)) և ներառում է ապրանքի ծածկագիրը, որին նախորդում է կիրառման նույնացուցիչը (01), որը գեներացվում է Հայաստանի Հանրապետության կառավարության կողմից լիազորված ազգային օպերատորի (այսուհետ՝ օպերատոր) կողմից՝ հիմնվելով տնտեսվարողի՝ վերը նշված արտադրանքի վերաբերյալ տրամադրած տեղեկատվության վրա,</w:t></w:r></w:p><w:p><w:pPr/><w:r><w:rPr/><w:t xml:space="preserve">2) երկրորդ խումբը բաղկացած է 13 նիշից (թվեր, լատինատառ այբուբենի մեծատառեր ու փոքրատառեր, ինչպես նաև հատուկ նիշեր (!"%&'()*+,-./_:;=<>?)) և ներառում է արտադրանքի անհատական (սպառողական) փաթեթավորման անհատական սերիական համարը, որին նախորդում է կիրառման նույնացուցիչը (21), որը գեներացվում է օպերատորի կամ տնտեսվարողի կողմից (տվյալների այս խմբի եզրափակիչ նիշը հանդիսանում է նիշ-բաժանարարը, որն ունի «29» ծածկագիրը ASCII նիշերի աղյուսակում),</w:t></w:r></w:p><w:p><w:pPr/><w:r><w:rPr/><w:t xml:space="preserve">3) երրորդ խումբը բաղկացած է 4 նիշից (թվեր, լատինատառ այբուբենի մեծատառեր ու փոքրատառեր, ինչպես նաև հատուկ նիշեր (!"%&'()*+,-./_:;=<>?)) և ներառում է ստուգման ծածկագիրը, որին նախորդում է կիրառման նույնացուցիչը (93) և որը գեներացվում է օպերատորի կողմից:</w:t></w:r></w:p><w:p><w:pPr/><w:r><w:rPr/><w:t xml:space="preserve">4․ Նույնականացման միջոցը կիրառվում է անհատական (սպառողական) փաթեթավորման պիտակի կամ կպչուն պիտակի վրա այնպիսի մեթոդով, որը թույլ չի տալիս նույնականացման միջոցն առանձնացնել փաթեթից: Նույնականացման միջոցը չի կարող կիրառվել սպառողական փաթեթավորման այնպիսի մասերի վրա, որոնք առանց վնասվելու կարող են կառուցվածքային տարանջատվել: Անհատական (սպառողական) փաթեթավորման վրա նույնականացման միջոցը կիրառվում է փաթեթավորման ցանկացած հատվածի վրա, այդ թվում՝ խցանափակման միջոցի վրա, բացի փաթեթավորման ստորին հատվածից (հատակից)։</w:t></w:r></w:p><w:p><w:pPr/><w:r><w:rPr/><w:t xml:space="preserve">5․ Կախված յուրաքանչուր դյույմի վրա տպագրության կետերի քանակից՝ նույնականացման միջոցի չափսը կարող է լինել համաձայն հետևյալ սանդղակի՝</w:t></w:r></w:p><w:p><w:pPr/><w:r><w:rPr/><w:t xml:space="preserve">1)  200 կետ յուրաքանչուր դյույմի վրա - 11․2x11․2 միլիմետր կամ 14․0x14․0 միլիմետր,</w:t></w:r></w:p><w:p><w:pPr/><w:r><w:rPr/><w:t xml:space="preserve">2) 300 կետ յուրաքանչուր դյույմի վրա - 9․3x9․3 միլիմետր, 11․2x11․2 միլիմետր, 13․0x13․0 միլիմետր կամ 14․9x14․9 միլիմետր</w:t></w:r></w:p><w:p><w:pPr/><w:r><w:rPr/><w:t xml:space="preserve">3) 450 կետ յուրաքանչուր դյույմի վրա - 8․7x8․7 միլիմետր, 9․9x9․9 միլիմետր, 11․2x11․2 միլիմետր, 12․4x14․4 միլիմետր, 13․7x13․7 միլիմետր, 14․9x14․9 միլիմետր կամ 16․1x16․1 միլիմետր,</w:t></w:r></w:p><w:p><w:pPr/><w:r><w:rPr/><w:t xml:space="preserve">4) 600 կետ յուրաքանչուր դյույմի վրա – 7․5x7․5 միլիմետր, 8․4x8․4 միլիմետր, 9․3x9․3 միլիմետր, 10․2x10․2 միլիմետր,  11․2x11․2 միլիմետր, 12․1x12․1 միլիմետր, 13․0x13․0 միլիմետր, 14․0x14․0 միլիմետր, 14․9x14․9 միլիմետր կամ 15․8x15․8 միլիմետր։</w:t></w:r></w:p><w:p><w:pPr/><w:r><w:rPr/><w:t xml:space="preserve">6․ Անհատական (սպառողական) փաթեթավորման և (կամ) կպչուն պիտակի վրա կիրառվող նույնականացման միջոցը չպետք է տպագրվի փաթեթավորման թափանցիկ թաղանթի վրա։ Պիտակի վրա չպետք է լինի մեկ այլ տեղեկատվություն, որը կխոչընդոտի նույնականացման միջոցի ընթերցմանը: Նույնականացման միջոցը պետք է տեղադրվի այնպես, որ չխախտվի արտադրանքի փաթեթավորման վրա կիրառված տեղեկատվության ամբողջականությունը տեխնիկական կանոնակարգման ոլորտի նորմատիվային փաստաթղթերի պահանջների համաձայն:</w:t></w:r></w:p><w:p><w:pPr/><w:r><w:rPr/><w:t xml:space="preserve">7․ Կիրառման պահանջներն են`</w:t></w:r></w:p><w:p><w:pPr/><w:r><w:rPr/><w:t xml:space="preserve">1) արտադրանքի անհատական (սպառողական) փաթեթավորման վրա կիրառելու համար պետք է օգտագործվի այնպիսի տեխնոլոգիա, որն ապահովում է փաթեթավորման վրա կիրառված նույնականացման միջոցների ընթերցումը կիրառելու պահից մինչև արտադրանքը սպառողին վաճառելու պահը,</w:t></w:r><w:br/><w:r><w:rPr/><w:t xml:space="preserve">2) չի թույլատրվում փաթեթավորման վրա տպել արտադրանքի փաթեթավորման որևէ տարր, որը ծածկում է մակերեսը և դժվարացնում նույնականացման միջոցների ընթերցումը։</w:t></w:r></w:p><w:p><w:pPr/><w:r><w:rPr/><w:t xml:space="preserve">8․ Ջրերի փաթեթավորման վրա նույնականացման միջոցները կիրառելու համար օգտագործվում են մակնշման հետևյալ հիմնական եղանակները՝</w:t></w:r></w:p><w:p><w:pPr/><w:r><w:rPr/><w:t xml:space="preserve">1) մակնշման ուղիղ եղանակ (ներառում է կիրառման տարբեր հնարավորություններ՝ լազերային կիրառում, ջերմային փոխանցում: Ծածկագիրը պետք է կիրառվի դրա համար պատրաստված մակերեսի վրա և ապահովի հակադրության ցանկալի մակարդակը, ծածկագրի շուրջ անհրաժեշտ ազատ գոտին),</w:t></w:r></w:p><w:p><w:pPr/><w:r><w:rPr/><w:t xml:space="preserve">2) պիտակավորում։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B689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2026-03-31T05:26:31+04:00</dcterms:created>
  <dcterms:modified xsi:type="dcterms:W3CDTF">2026-03-31T05:26:31+04:00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