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ՕՐԵՆՍԳՐՔՈՒՄ ՓՈՓՈԽՈՒԹՅՈՒՆ ԵՎ ԼՐԱՑՈՒՄ ԿԱՏԱՐԵԼՈՒ ՄԱՍԻՆ» ԵՎ «ՇԱՐԺԱԿԱՆ ԳՈՒՅՔԻ ՆԿԱՏՄԱՄԲ ԱՊԱՀՈՎՎԱԾ ԻՐԱՎՈՒՆՔՆԵՐԻ ԳՐԱՆՑՄԱՆ ՄԱՍԻՆ» ՕՐԵՆՔՈՒՄ ՓՈՓՈԽՈՒԹՅՈՒՆՆԵՐ ԿԱՏԱՐԵԼՈՒ ՄԱՍԻՆ» ՕՐԵՆՔՆԵՐԻ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ՔԱՂԱՔԱՑԻԱԿԱՆ ՕՐԵՆՍԳՐՔՈՒՄ ՓՈՓՈԽՈՒԹՅՈՒՆ ԵՎ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1998 թվականի մայիսի 5-ի Հայաստանի Հանրապետության քաղաքացիական օրենսգրքի (այսուհետ՝ Օրենսգիրք) 14.1-ին գլուխը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15-րդ գլխում լրացնել նոր՝ 230.1-ին հոդված՝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230.1. Շարժական գույքի գրավի առանձնահատկությունները</w:t>
      </w:r>
    </w:p>
    <w:p>
      <w:pPr>
        <w:numPr>
          <w:ilvl w:val="0"/>
          <w:numId w:val="2"/>
        </w:numPr>
      </w:pPr>
      <w:r>
        <w:rPr/>
        <w:t xml:space="preserve">Շարժական գույքի գրավը օրենքի կամ պայմանագրի ուժով, ի ապահովումն պարտավորության կատարման, անշարժ չհամարվող գույքի կամ գույքային իրավունքի կամ պարտավորական իրավունքի նկատմամբ պարտատիրոջ իրավունքն է:</w:t>
      </w:r>
    </w:p>
    <w:p>
      <w:pPr>
        <w:numPr>
          <w:ilvl w:val="0"/>
          <w:numId w:val="2"/>
        </w:numPr>
      </w:pPr>
      <w:r>
        <w:rPr/>
        <w:t xml:space="preserve">Շարժական գույքի գրավի պայմանագրով շարժական գույքի գրավի առարկայի նկարագրությունը լինում է ընդհանուր կամ որոշակի:</w:t>
      </w:r>
    </w:p>
    <w:p>
      <w:pPr>
        <w:numPr>
          <w:ilvl w:val="0"/>
          <w:numId w:val="2"/>
        </w:numPr>
      </w:pPr>
      <w:r>
        <w:rPr/>
        <w:t xml:space="preserve">Շարժական գույքի գրավի առարկայի ընդհանուր նկարագրություն սահմանելիս պայմանագրում նշում է կատարվում ողջ գույքի կամ գույքի առանձին տեսակների կամ որևէ հատկանիշով պայմանավորված գույքի խմբի մասին, որը հանդիսանալու է շարժական գույքի գրավի իրավունքի առարկա: Շարժական գույքի գրավի առարկայի ընդհանուր նկարագրությունը պետք է համապատասխանի շարժական գույքի գրավի առարկայի կազմում ընդգրկվող գույքի նկարագրությանը և հնարավորություն ընձեռի ողջամտորեն նույնականացնելու գույքը դրա նկատմամբ բռնագանձում տարածելու պահին:</w:t>
      </w:r>
    </w:p>
    <w:p>
      <w:pPr>
        <w:numPr>
          <w:ilvl w:val="0"/>
          <w:numId w:val="2"/>
        </w:numPr>
      </w:pPr>
      <w:r>
        <w:rPr/>
        <w:t xml:space="preserve">Շարժական գույքի գրավի առարկայի ընդհանուր նկարագրությամբ պայմանագրում, շարժական գույքի գրավի առարկայի ընդհանուր նկարագրությունից բացի, պետք է նաև նշվի պայմանագրի կնքման պահին շարժական գույքի գրավի իրավունքի առարկայի ընդհանուր արժեքը, եթե այլ բան նախատեսված չէ պայմանագրով: Պայմանագրի գործողության ընթացքում շարժական գույքի գրավի առարկայի կազմը կարող է փոփոխվել, ներառյալ՝ շարժական գույքի գրավի առարկայի կազմում ընդգրկվող գույքը կարող է օտարվել պայմանագրով սահմանված՝ շարժական գույքի գրավի առարկայի ընդհանուր արժեքը չնվազելու պայմանով, եթե այլ բան նախատեսված չէ կողմերի գրավոր համաձայնությամբ:</w:t>
      </w:r>
    </w:p>
    <w:p>
      <w:pPr>
        <w:numPr>
          <w:ilvl w:val="0"/>
          <w:numId w:val="2"/>
        </w:numPr>
      </w:pPr>
      <w:r>
        <w:rPr/>
        <w:t xml:space="preserve">Շարժական գույքի գրավի առարկայի ընդհանուր նկարագրություն սահմանված լինելու դեպքում շարժական գույքի գրավի առարկայի կազմում ընդգրկվող գույքն օտարելու պահից դադարում է լինել շարժական գույքի գրավի առարկա, իսկ պայմանագրում նշված գույքի խմբին կամ գույքի տեսակներին պատկանող գույքը պայմանագրով սահմանված՝ շարժական գույքի գրավի առարկայի ընդհանուր արժեքի սահմաններում դառնում է շարժական գույքի գրավի առարկա, եթե այլ բան նախատեսված չէ օրենքով կամ պայմանագրով:</w:t>
      </w:r>
    </w:p>
    <w:p>
      <w:pPr>
        <w:numPr>
          <w:ilvl w:val="0"/>
          <w:numId w:val="2"/>
        </w:numPr>
      </w:pPr>
      <w:r>
        <w:rPr/>
        <w:t xml:space="preserve">Շարժական գույքի գրավի առարկայի ընդհանուր նկարագրություն չի կարող սահմանվել ձեռնարկատիրական գործունեության հետ չկապված (սպառողների հետ կնքվող) պայմանագրերից բխող պարտավորությունների կատարման ապահովման համար կնքվող պայմանագրերում:</w:t>
      </w:r>
    </w:p>
    <w:p>
      <w:pPr>
        <w:numPr>
          <w:ilvl w:val="0"/>
          <w:numId w:val="2"/>
        </w:numPr>
      </w:pPr>
      <w:r>
        <w:rPr/>
        <w:t xml:space="preserve">Շարժական գույքի գրավի առարկայի արժեքից բավարարում ստանալու նախապատվության իրավունքը որոշվում է միասնական գրանցամատյանում գրանցված շարժական գույքի գրավի իրավունքի գրանցման առաջնահերթությամբ, եթե այլ բան նախատեսված չէ սույն օրենսգրքով կամ ապահովված անձանց (պարտատերերի) միջև կնքված պայմանագրով:</w:t>
      </w:r>
    </w:p>
    <w:p>
      <w:pPr>
        <w:numPr>
          <w:ilvl w:val="0"/>
          <w:numId w:val="2"/>
        </w:numPr>
      </w:pPr>
      <w:r>
        <w:rPr/>
        <w:t xml:space="preserve">Շարժական գույքի գրավի իրավունքի գրանցումն առաջացնում է նախապատվության իրավունք նույն շարժական գույքի նկատմամբ չգրանցված ապահովված իրավունքի նկատմամբ, եթե այլ բան նախատեսված չէ սույն օրենսգրքով կամ ապահովված անձանց (պարտատերերի) միջև կնքված պայմանագրով:</w:t>
      </w:r>
    </w:p>
    <w:p>
      <w:pPr>
        <w:numPr>
          <w:ilvl w:val="0"/>
          <w:numId w:val="2"/>
        </w:numPr>
      </w:pPr>
      <w:r>
        <w:rPr/>
        <w:t xml:space="preserve">Ապագայում ձեռք բերվող շարժական գույքի առարկայի նկարագիրն ընդհանուր լինելու դեպքերում շարժական գույքի նկատմամբ նախապատվության իրավունք ունի այն անձը, ում ֆինանսավորմամբ ձեռք է բերվում շարժական գույքը։</w:t>
      </w:r>
    </w:p>
    <w:p>
      <w:pPr>
        <w:numPr>
          <w:ilvl w:val="0"/>
          <w:numId w:val="2"/>
        </w:numPr>
      </w:pPr>
      <w:r>
        <w:rPr/>
        <w:t xml:space="preserve">Պարտապանի կողմից շարժական գույքի գրավի առարկա հանդիսացող շրջանառության մեջ գտնվող շարժական գույքն օտարելու ժամանակ գրանցված ապահովված իրավունքը տարածվում է այդ առարկայի օտարումից ստացված միջոցների վրա, եթե այլ բան նախատեսված չէ կողմերի համաձայնությամբ։</w:t>
      </w:r>
    </w:p>
    <w:p>
      <w:pPr>
        <w:numPr>
          <w:ilvl w:val="0"/>
          <w:numId w:val="2"/>
        </w:numPr>
      </w:pPr>
      <w:r>
        <w:rPr/>
        <w:t xml:space="preserve">Գրանցման եղանակով նախապատվության իրավունք ձեռք բերած անձի կողմից շարժական գույքի գրավի իրավունքը զիջվելու դեպքում այն ձեռք բերած անձի համար նախապատվության իրավունքը շարունակվում է:</w:t>
      </w:r>
    </w:p>
    <w:p>
      <w:pPr>
        <w:numPr>
          <w:ilvl w:val="0"/>
          <w:numId w:val="2"/>
        </w:numPr>
      </w:pPr>
      <w:r>
        <w:rPr/>
        <w:t xml:space="preserve">Շարժական գույքի գրավի նկատմամբ իրավունքի գրանցման հետ կապված հարաբերությունները կարգավորվում են շարժական գույքի նկատմամբ իրավունքների գրանցման մասին օրենքով:</w:t>
      </w:r>
    </w:p>
    <w:p>
      <w:pPr>
        <w:numPr>
          <w:ilvl w:val="0"/>
          <w:numId w:val="2"/>
        </w:numPr>
      </w:pPr>
      <w:r>
        <w:rPr/>
        <w:t xml:space="preserve">Սույն հոդվածով սահմանված կարգավորումները չեն տարածվում տրանսպորտային միջոցի, բանկային հաշվի, դեպոզիտի (ավանդի), ինչպես նաև արժեթղթի գրավի հետ կապված հարաբերությունների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2024 թվականի հուլիսի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ՇԱՐԺԱԿԱՆ ԳՈՒՅՔԻ ՆԿԱՏՄԱՄԲ ԱՊԱՀՈՎՎԱԾ ԻՐԱՎՈՒՆՔՆԵՐԻ ԳՐԱՆՑՄԱՆ ՄԱՍԻՆ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«Շարժական գույքի նկատմամբ ապահովված իրավունքների գրանցման մասին» 2014 թվականի դեկտեմբերի 17-ի ՀՕ-263-Ն օրենքի վերնագրում և ամբողջ տեքստում «ապահովված իրավունքներ» բառերը և դրանց բոլոր հոլովաձևերը փոխարինել «գրավի իրավունք» բառերով՝ համապատասխան հոլովաձևերով: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2024 թվականի հուլիսի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D7A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2026-03-31T00:53:50+04:00</dcterms:created>
  <dcterms:modified xsi:type="dcterms:W3CDTF">2026-03-31T00:53:50+04:00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