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մայիսի 13-ի  N 754-Ն որոշման մեջ փոփոխություն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--ը 2023 թվականի N -----Ն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 ՄԱ</w:t>
      </w:r>
      <w:r>
        <w:rPr>
          <w:b w:val="1"/>
          <w:bCs w:val="1"/>
        </w:rPr>
        <w:t xml:space="preserve">ՅԻՍԻ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-Ի</w:t>
      </w:r>
      <w:r>
        <w:rPr>
          <w:b w:val="1"/>
          <w:bCs w:val="1"/>
        </w:rPr>
        <w:t xml:space="preserve"> N 754-Ն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մասի դրույթներով՝  Հայաստանի  Հանրապետության կառավարությունը  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մայիսի 13-ի «Օզոնային շերտը քայքայող նյութերի և հիդրոֆտորածխածիններիներմուծման ընդհանուր չափաքանակները (քվոտաները) սահմանելու և Հայաստանի Հանրապետության կառավարության 2007 թվականի մարտի 15-ի N 327-Ն որոշումն ուժը կորցրած ճանաչելու մասին» N 754-Ն որոշման հավելվածի 3-րդ կետը շարադրել նոր խմբագրությամբ՝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«3. Սահմանվում են օզոնային շերտը քայքայող նյութերի և հիդրոֆտորածխածինների ներմուծման հետևյալ տարեկան ընդհանուր չափաքանակները (քվոտաները)`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3225" w:type="dxa"/>
        <w:gridCol w:w="2715" w:type="dxa"/>
        <w:gridCol w:w="4050" w:type="dxa"/>
      </w:tblGrid>
      <w:tblPr>
        <w:tblW w:w="9975" w:type="dxa"/>
        <w:tblLayout w:type="autofit"/>
      </w:tblPr>
      <w:tr>
        <w:trPr/>
        <w:tc>
          <w:tcPr>
            <w:tcW w:w="9975" w:type="dxa"/>
            <w:gridSpan w:val="3"/>
            <w:noWrap/>
          </w:tcPr>
          <w:p>
            <w:pPr/>
            <w:r>
              <w:rPr/>
              <w:t xml:space="preserve">Օզոնային շերտը քայքայող նյութեր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Խումբը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Տարին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Ներմուծման առավելագույն տարեկան չափաքանակը</w:t>
            </w:r>
            <w:br/>
            <w:r>
              <w:rPr/>
              <w:t xml:space="preserve"> (մետրիկ տոննա/տարի)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Անվանացանկ A-ի խումբ I, II    Անվանացանկ B-ի խումբ I, II, III</w:t>
            </w:r>
          </w:p>
          <w:p>
            <w:pPr/>
            <w:r>
              <w:rPr/>
              <w:t xml:space="preserve">Անվանացանկ C-ի խումբ II, III</w:t>
            </w:r>
          </w:p>
          <w:p>
            <w:pPr/>
            <w:r>
              <w:rPr/>
              <w:t xml:space="preserve">Անվանացանկ E-ի խումբ I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2011 թ.-ից սկսած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Անվանացանկ C-ի խումբ I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2020-2021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82,35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2022-2024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42,31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2025-2029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41,17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2030-2039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3,17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2040 թ.-ից սկսած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tcW w:w="9975" w:type="dxa"/>
            <w:gridSpan w:val="3"/>
            <w:noWrap/>
          </w:tcPr>
          <w:p>
            <w:pPr/>
            <w:r>
              <w:rPr/>
              <w:t xml:space="preserve">Հիդրոֆտորածխածիններ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Խումբը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Տարին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Ներմուծման առավելագույն տարեկան</w:t>
            </w:r>
            <w:br/>
            <w:r>
              <w:rPr/>
              <w:t xml:space="preserve"> չափաքանակը (տոննա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 համարժեքով/տարի)</w:t>
            </w:r>
          </w:p>
        </w:tc>
      </w:tr>
      <w:tr>
        <w:trPr/>
        <w:tc>
          <w:tcPr>
            <w:tcW w:w="3225" w:type="dxa"/>
            <w:noWrap/>
          </w:tcPr>
          <w:p>
            <w:pPr/>
            <w:r>
              <w:rPr/>
              <w:t xml:space="preserve">Անվանացանկ F-ի խումբ I, II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2020-2023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անսահմանափակ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2024 - 2028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475,254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2029 – 2034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427,729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2035 – 2039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332,678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2040 – 2044 թթ.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  237,627</w:t>
            </w:r>
          </w:p>
        </w:tc>
      </w:tr>
      <w:tr>
        <w:trPr/>
        <w:tc>
          <w:tcPr>
            <w:tcW w:w="2715" w:type="dxa"/>
            <w:noWrap/>
          </w:tcPr>
          <w:p>
            <w:pPr/>
            <w:r>
              <w:rPr/>
              <w:t xml:space="preserve">2045թթ.-ից սկսած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95,051</w:t>
            </w:r>
          </w:p>
        </w:tc>
      </w:tr>
    </w:tbl>
    <w:p>
      <w:pPr/>
      <w:r>
        <w:rPr/>
        <w:t xml:space="preserve">»: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A4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398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2026-03-31T13:09:57+04:00</dcterms:created>
  <dcterms:modified xsi:type="dcterms:W3CDTF">2026-03-31T13:09:57+04:00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