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օգոստոսի 11-ի N 1384-Ն որոշման մեջ փոփոխություններ և լրացում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23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...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...</w:t>
      </w:r>
      <w:r>
        <w:rPr/>
        <w:t xml:space="preserve"> </w:t>
      </w:r>
      <w:r>
        <w:rPr>
          <w:b w:val="1"/>
          <w:bCs w:val="1"/>
        </w:rPr>
        <w:t xml:space="preserve">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2005 ԹՎԱԿԱՆԻ ՕԳՈՍՏՈՍԻ 11-Ի N 1384-Ն ՈՐՈՇՄԱՆ</w:t>
      </w:r>
    </w:p>
    <w:p>
      <w:pPr>
        <w:jc w:val="center"/>
      </w:pPr>
      <w:r>
        <w:rPr>
          <w:b w:val="1"/>
          <w:bCs w:val="1"/>
        </w:rPr>
        <w:t xml:space="preserve"> ՄԵՋ ՓՈՓՈԽՈՒԹՅՈՒՆՆԵՐ ԵՎ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հոդվածների պահանջները՝ Հայաստանի Հանրապետության կառավարությունը </w:t>
      </w:r>
      <w:r>
        <w:rPr>
          <w:b w:val="1"/>
          <w:bCs w:val="1"/>
        </w:rPr>
        <w:t xml:space="preserve">ո ր ո շ ու մ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օգոստոսի 11-ի «Ամենամյա լրացուցիչ արձակուրդի իրավունք ունեցող առանձին կատեգորիայի աշխատողների ցանկը, այդ արձակուրդի նվազագույն տևողությունը և տրամադրման կարգը սահմանելու մասին» N 1384-Ն որոշման (այսուհետ՝ Որոշում) մեջ կատարել հետևյալ փոփոխությունները և լրացումը.</w:t>
      </w:r>
    </w:p>
    <w:p>
      <w:pPr/>
      <w:r>
        <w:rPr/>
        <w:t xml:space="preserve">1) Որոշման N 1 հավելվածի 23-րդ կետը շարադրել հետևյալ խմբագրությամբ.</w:t>
      </w:r>
    </w:p>
    <w:tbl>
      <w:tblGrid>
        <w:gridCol w:w="555" w:type="dxa"/>
        <w:gridCol w:w="7635" w:type="dxa"/>
        <w:gridCol w:w="540" w:type="dxa"/>
        <w:gridCol w:w="540" w:type="dxa"/>
      </w:tblGrid>
      <w:tblPr>
        <w:tblW w:w="0" w:type="dxa"/>
        <w:tblLayout w:type="autofit"/>
      </w:tblPr>
      <w:tr>
        <w:trPr/>
        <w:tc>
          <w:tcPr>
            <w:tcW w:w="555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7635" w:type="dxa"/>
            <w:noWrap/>
          </w:tcPr>
          <w:p>
            <w:pPr/>
            <w:r>
              <w:rPr/>
              <w:t xml:space="preserve">Հայաստանի Հանրապետության կենտրոնական բանկի և ֆինանսական համակարգի կազմակերպությունների աշխատող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 «</w:t>
      </w:r>
    </w:p>
    <w:p>
      <w:pPr/>
      <w:r>
        <w:rPr/>
        <w:t xml:space="preserve">».</w:t>
      </w:r>
    </w:p>
    <w:p>
      <w:pPr/>
      <w:r>
        <w:rPr/>
        <w:t xml:space="preserve">2) Որոշման N 1 հավելվածը լրացնել հետևյալ բովանդակությամբ 31.1-ին կետով.</w:t>
      </w:r>
    </w:p>
    <w:tbl>
      <w:tblGrid>
        <w:gridCol w:w="690" w:type="dxa"/>
        <w:gridCol w:w="7500" w:type="dxa"/>
        <w:gridCol w:w="540" w:type="dxa"/>
        <w:gridCol w:w="540" w:type="dxa"/>
      </w:tblGrid>
      <w:tblPr>
        <w:tblW w:w="0" w:type="dxa"/>
        <w:tblLayout w:type="autofit"/>
      </w:tblPr>
      <w:tr>
        <w:trPr/>
        <w:tc>
          <w:tcPr>
            <w:tcW w:w="690" w:type="dxa"/>
            <w:noWrap/>
          </w:tcPr>
          <w:p>
            <w:pPr/>
            <w:r>
              <w:rPr/>
              <w:t xml:space="preserve">31.1.</w:t>
            </w:r>
          </w:p>
        </w:tc>
        <w:tc>
          <w:tcPr>
            <w:tcW w:w="7500" w:type="dxa"/>
            <w:noWrap/>
          </w:tcPr>
          <w:p>
            <w:pPr/>
            <w:r>
              <w:rPr/>
              <w:t xml:space="preserve">Մետրոպոլիտենի թունելային հատվածում թունելային գծային ուղեմասի գծի աշխատող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«</w:t>
      </w:r>
    </w:p>
    <w:p>
      <w:pPr/>
      <w:r>
        <w:rPr/>
        <w:t xml:space="preserve">».</w:t>
      </w:r>
    </w:p>
    <w:p>
      <w:pPr/>
      <w:r>
        <w:rPr/>
        <w:t xml:space="preserve">3) Որոշման N 2 հավելվածը շարադրել նոր խմբագրությամբ՝ համաձայն հավելվածի։</w:t>
      </w:r>
    </w:p>
    <w:p>
      <w:pPr/>
      <w:r>
        <w:rPr/>
        <w:t xml:space="preserve">2. 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606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2026-04-04T14:18:22+04:00</dcterms:created>
  <dcterms:modified xsi:type="dcterms:W3CDTF">2026-04-04T14:18:22+04:00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