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ԱՏԳ ԱԱ 8471 30 000 0, 8517 11 000 0, 8517 13 000 0, 8517 14 000 0 ԵՎ 8517 18 000 0 ԾԱԾԿԱԳՐԵՐԻՆ ԴԱՍՎՈՂ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2023 թվականի N _____-Լ</w:t>
      </w:r>
    </w:p>
    <w:p>
      <w:pPr>
        <w:jc w:val="center"/>
      </w:pPr>
      <w:r>
        <w:rPr/>
        <w:t xml:space="preserve"> </w:t>
      </w:r>
    </w:p>
    <w:p>
      <w:pPr>
        <w:jc w:val="center"/>
      </w:pPr>
      <w:r>
        <w:rPr>
          <w:b w:val="1"/>
          <w:bCs w:val="1"/>
        </w:rPr>
        <w:t xml:space="preserve">ՀԱՅԱՍՏԱՆԻ ՀԱՆՐԱՊԵՏՈՒԹՅՈՒՆՈՒՄ ԱՏԳ ԱԱ 8471 30 000 0, 8517 11 000 0, 8517 13 000 0, 8517 14 000 0 ԵՎ 8517 18 000 0 ԾԱԾԿԱԳՐԵՐԻՆ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r>
        <w:rPr/>
        <w:t xml:space="preserve">1. Հաստատել Հայաստանի Հանրապետությունում արտաքին տնտեսական գործունեության ապրանքային անվանացանկի (ԱՏԳ ԱԱ) 8471 30 000 0, 8517 11 000 0, 8517 13 000 0, 8517 14 000 0 և 8517 18 000 0 ծածկագրերին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w:t>
      </w:r>
    </w:p>
    <w:p>
      <w:pPr/>
      <w:r>
        <w:rPr/>
        <w:t xml:space="preserve">2) ծրագիրը և ծրագրի արդյունքների գնահատումն իրականացվում է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(այսուհետ՝ «Հեռանկարային տեխնոլոգիաների զարգացման կենտրոն-Արմենիա» ՍՊԸ) կողմից`</w:t>
      </w:r>
    </w:p>
    <w:p>
      <w:pPr/>
      <w:r>
        <w:rPr/>
        <w:t xml:space="preserve">ա․  ԱՏԳ ԱԱ 8471 30 000 0, 8517 11 000 0, 8517 13 000 0, 8517 14 000 0 և 8517 18 000 0 ծածկագրերին դասվող ապրանքախմբերի համար՝ սույն որոշումն ուժի մեջ մտնելու օրը ներառող ամսվան հաջորդող երկամսյա ժամկետում,</w:t>
      </w:r>
    </w:p>
    <w:p>
      <w:pPr/>
      <w:r>
        <w:rPr/>
        <w:t xml:space="preserve">բ․    սույն ենթակետով սահմանված ժամկետների ավարտին հաջորդող մեկամսյա ժամկետում Հայաստանի Հանրապետության պետական եկամուտների կոմիտեն Հայաստանի Հանրապետության վարչապետի աշխատակազմ է ներկայացնում ծրագրի գնահատման արդյունքները։</w:t>
      </w:r>
    </w:p>
    <w:p>
      <w:pPr/>
      <w:r>
        <w:rPr/>
        <w:t xml:space="preserve"> </w:t>
      </w:r>
    </w:p>
    <w:p>
      <w:pPr/>
      <w:r>
        <w:rPr/>
        <w:t xml:space="preserve"> </w:t>
      </w:r>
    </w:p>
    <w:p>
      <w:pPr/>
      <w:r>
        <w:rPr>
          <w:b w:val="1"/>
          <w:bCs w:val="1"/>
        </w:rPr>
        <w:t xml:space="preserve"> </w:t>
      </w:r>
    </w:p>
    <w:p>
      <w:pPr/>
      <w:b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ՀՀ կառավարության 2023 թվականի</w:t>
      </w:r>
    </w:p>
    <w:p>
      <w:pPr>
        <w:jc w:val="end"/>
      </w:pPr>
      <w:r>
        <w:rPr>
          <w:b w:val="1"/>
          <w:bCs w:val="1"/>
        </w:rPr>
        <w:t xml:space="preserve">____________ ____-ի N____-Լ որոշման</w:t>
      </w:r>
    </w:p>
    <w:p>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ԱՆՎԱՆԱՑԱՆԿԻ (ԱՏԳ ԱԱ) 8471 30 000 0, 8517 11 000 0, 8517 13 000 0, 8517 14 000 0 ԵՎ 8517 18 000 0 ԾԱԾԿԱԳՐԵՐԻՆ ԴԱՍՎՈՂ ԱՊՐԱՆՔՆԵՐԻ ԴՐՈՇՄԱՎՈՐՄԱՆ</w:t>
      </w:r>
    </w:p>
    <w:p>
      <w:pPr/>
      <w:r>
        <w:rPr>
          <w:b w:val="1"/>
          <w:bCs w:val="1"/>
        </w:rPr>
        <w:t xml:space="preserve"> </w:t>
      </w:r>
    </w:p>
    <w:p>
      <w:pPr/>
      <w:r>
        <w:rPr/>
        <w:t xml:space="preserve">I. ՆԵՐԱԾՈՒԹՅՈՒՆ</w:t>
      </w:r>
    </w:p>
    <w:p>
      <w:pPr/>
      <w:r>
        <w:rPr/>
        <w:t xml:space="preserve"> </w:t>
      </w:r>
    </w:p>
    <w:p>
      <w:pPr>
        <w:numPr>
          <w:ilvl w:val="0"/>
          <w:numId w:val="2"/>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G2B և B2B թվային ծառայությունների զարգացմանը։</w:t>
      </w:r>
    </w:p>
    <w:p>
      <w:pPr/>
      <w:r>
        <w:rPr/>
        <w:t xml:space="preserve"> </w:t>
      </w:r>
    </w:p>
    <w:p>
      <w:pPr/>
      <w:r>
        <w:rPr/>
        <w:t xml:space="preserve">II. ԾՐԱԳՐԻ ԻՐԱԿԱՆԱՑՄԱՆ ԱՆՀՐԱԺԵՇՏՈՒԹՅՈՒՆԸ</w:t>
      </w:r>
    </w:p>
    <w:p>
      <w:pPr/>
      <w:r>
        <w:rPr/>
        <w:t xml:space="preserve"> </w:t>
      </w:r>
    </w:p>
    <w:p>
      <w:pPr>
        <w:numPr>
          <w:ilvl w:val="0"/>
          <w:numId w:val="3"/>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numPr>
          <w:ilvl w:val="0"/>
          <w:numId w:val="3"/>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r>
        <w:rPr/>
        <w:t xml:space="preserve">III. ԾՐԱԳՐԻ ՀԻՄՆԱԿԱՆ ՆՊԱՏԱԿՆ ՈՒ ԽՆԴԻՐՆԵՐԸ</w:t>
      </w:r>
    </w:p>
    <w:p>
      <w:pPr/>
      <w:r>
        <w:rPr/>
        <w:t xml:space="preserve"> </w:t>
      </w:r>
    </w:p>
    <w:p>
      <w:pPr>
        <w:numPr>
          <w:ilvl w:val="0"/>
          <w:numId w:val="4"/>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ճշտգրիտ և իրատեսական պատկեր և խոչընդոտել անորակ և կեղծ ապրանքների տարածումը, ինչը լուրջ խնդիր է ինչպես սպառողների, այնպես էլ արտադրողների համար։</w:t>
      </w:r>
    </w:p>
    <w:p>
      <w:pPr>
        <w:numPr>
          <w:ilvl w:val="0"/>
          <w:numId w:val="4"/>
        </w:numPr>
      </w:pPr>
      <w:r>
        <w:rPr/>
        <w:t xml:space="preserve">Ներկայումս առկա խնդիրներն են՝</w:t>
      </w:r>
    </w:p>
    <w:p>
      <w:pPr>
        <w:numPr>
          <w:ilvl w:val="0"/>
          <w:numId w:val="5"/>
        </w:numPr>
      </w:pPr>
      <w:r>
        <w:rPr/>
        <w:t xml:space="preserve">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numPr>
          <w:ilvl w:val="0"/>
          <w:numId w:val="5"/>
        </w:numPr>
      </w:pPr>
      <w:r>
        <w:rPr/>
        <w:t xml:space="preserve">չի ապահովվում ապրանքների շրջանառության ամբողջ շղթայի լիարժեք հետագծելիությունը։</w:t>
      </w:r>
    </w:p>
    <w:p>
      <w:pPr>
        <w:numPr>
          <w:ilvl w:val="0"/>
          <w:numId w:val="6"/>
        </w:numPr>
      </w:pPr>
      <w:r>
        <w:rPr/>
        <w:t xml:space="preserve">Ծրագրի իրագործմամբ առաջադրվում են մի շարք նպատակներ․</w:t>
      </w:r>
    </w:p>
    <w:p>
      <w:pPr/>
      <w:r>
        <w:rPr>
          <w:b w:val="1"/>
          <w:bCs w:val="1"/>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b w:val="1"/>
          <w:bCs w:val="1"/>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b w:val="1"/>
          <w:bCs w:val="1"/>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r>
        <w:rPr/>
        <w:t xml:space="preserve">IV. ԾՐԱԳՐԻ ՆԿԱՐԱԳԻՐԸ</w:t>
      </w:r>
    </w:p>
    <w:p>
      <w:pPr/>
      <w:r>
        <w:rPr/>
        <w:t xml:space="preserve"> </w:t>
      </w:r>
    </w:p>
    <w:p>
      <w:pPr>
        <w:numPr>
          <w:ilvl w:val="0"/>
          <w:numId w:val="7"/>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numPr>
          <w:ilvl w:val="0"/>
          <w:numId w:val="7"/>
        </w:numPr>
      </w:pPr>
      <w:r>
        <w:rPr/>
        <w:t xml:space="preserve">Տվյալ ծրագիրը իրենից ներկայացնում է ՀՀ-ում Ապրանքների դրոշմավորման ավտոմատացված տեղեկատվական համակարգի (ԱԴԱՏՀ) արդիականացումը, որը կապահովի տվյալ որոշումով նախատեսվող ապրանքների շրջանառության հետագծելիությունը շրջանառության բոլոր փուլերում։</w:t>
      </w:r>
    </w:p>
    <w:p>
      <w:pPr>
        <w:numPr>
          <w:ilvl w:val="0"/>
          <w:numId w:val="7"/>
        </w:numPr>
      </w:pPr>
      <w:r>
        <w:rPr/>
        <w:t xml:space="preserve">Ծրագրի իրականացման հիմք են հանդիսացել՝</w:t>
      </w:r>
    </w:p>
    <w:p>
      <w:pPr/>
      <w:r>
        <w:rPr/>
        <w:t xml:space="preserve">1) «Եվրասիական տնտեսական միությունում նույնականացման միջոցներով ապրանքների դրոշմավորման մասին» Համաձայնագիրը՝ ստորագրված 2018 թվականի փետրվարի 2-ին,</w:t>
      </w:r>
    </w:p>
    <w:p>
      <w:pPr/>
      <w:r>
        <w:rPr/>
        <w:t xml:space="preserve">2) Եվրասիական տնտեսական հանձնաժողովի խորհրդի 2021 թվականի մարտի 5-ի №19 որոշումը «Եվրասիական տնտեսական միությունում նույնականացման միջոցներով ապրանքների մակնշման համակարգի բազային տեխնոլոգիական կազմակերպական մոդելի մասին»։</w:t>
      </w:r>
    </w:p>
    <w:p>
      <w:pPr/>
      <w:r>
        <w:rPr/>
        <w:t xml:space="preserve">11. 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r>
        <w:rPr/>
        <w:t xml:space="preserve">12. Ապրանքների դրոշմավորումը իրականացվելու է ապրանքի հատուկ տվյալների մատրիցային Data Matrix կոդով մակնշման միջոցով։ Թվային դրոշմավորման կոդը չկեղծվող է, ունիկալ և չկրկնվող՝ ապրանքների յուրաքանչյուր միավորի համար։ Դրոշմավորման կոդերը արտադրողներին և ներմուծողներին տրամադրելու է ՀՀ կառավարության կողմից լիազորված Ազգային օպերատորը՝ թվային եղանակով։</w:t>
      </w:r>
    </w:p>
    <w:p>
      <w:pPr/>
      <w:r>
        <w:rPr/>
        <w:t xml:space="preserve">13. 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r>
        <w:rPr/>
        <w:t xml:space="preserve">14. 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r>
        <w:rPr/>
        <w:t xml:space="preserve">15. 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r>
        <w:rPr/>
        <w:t xml:space="preserve">16. Ապրանքների դրոշմավորման ավտոմատացված տեղեկատվական համակարգը ինտեգրվելու է հետևյալ էլեկտրոնային համակարգերին.</w:t>
      </w:r>
    </w:p>
    <w:p>
      <w:pPr>
        <w:numPr>
          <w:ilvl w:val="0"/>
          <w:numId w:val="8"/>
        </w:numPr>
      </w:pPr>
      <w:r>
        <w:rPr/>
        <w:t xml:space="preserve">ՊԵԿ-ի տեղեկատվական համակարգ,</w:t>
      </w:r>
    </w:p>
    <w:p>
      <w:pPr>
        <w:numPr>
          <w:ilvl w:val="0"/>
          <w:numId w:val="8"/>
        </w:numPr>
      </w:pPr>
      <w:r>
        <w:rPr/>
        <w:t xml:space="preserve">ԷԿԵՆԳ-ի տեղեկատվական համակարգ,</w:t>
      </w:r>
    </w:p>
    <w:p>
      <w:pPr>
        <w:numPr>
          <w:ilvl w:val="0"/>
          <w:numId w:val="8"/>
        </w:numPr>
      </w:pPr>
      <w:r>
        <w:rPr/>
        <w:t xml:space="preserve">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օրենսդրությանը և Հայաստանի Հանրապետության նորմատիվ-իրավական բազայի հիման վրա:</w:t>
      </w:r>
    </w:p>
    <w:p>
      <w:pPr/>
      <w:r>
        <w:rPr/>
        <w:t xml:space="preserve">18․  Փորձնական ծրագրի ընթացքը հնարավորություն  կընձեռի իրականացնել․</w:t>
      </w:r>
    </w:p>
    <w:p>
      <w:pPr>
        <w:numPr>
          <w:ilvl w:val="0"/>
          <w:numId w:val="9"/>
        </w:numPr>
      </w:pPr>
      <w:r>
        <w:rPr/>
        <w:t xml:space="preserve">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p>
    <w:p>
      <w:pPr>
        <w:numPr>
          <w:ilvl w:val="0"/>
          <w:numId w:val="9"/>
        </w:numPr>
      </w:pPr>
      <w:r>
        <w:rPr/>
        <w:t xml:space="preserve">ծրագրի մասնակիցների էֆեկտիվ (արդյունավետ) փոխգործակցության կազմակերպումը,</w:t>
      </w:r>
    </w:p>
    <w:p>
      <w:pPr>
        <w:numPr>
          <w:ilvl w:val="0"/>
          <w:numId w:val="9"/>
        </w:numPr>
      </w:pPr>
      <w:r>
        <w:rPr/>
        <w:t xml:space="preserve">ծրագրի մասնակիցների տեղեկատվական համակարգերի ինտեգրումը և փորձարկումը Օպերատորի տեղեկատվական համակարգի հետ,</w:t>
      </w:r>
    </w:p>
    <w:p>
      <w:pPr>
        <w:numPr>
          <w:ilvl w:val="0"/>
          <w:numId w:val="9"/>
        </w:numPr>
      </w:pPr>
      <w:r>
        <w:rPr/>
        <w:t xml:space="preserve">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r>
        <w:rPr/>
        <w:t xml:space="preserve">VII. ԾՐԱԳՐԻ ՄԱՍՆԱԿԻՑՆԵՐԸ ԵՎ ԿՈՂՄԵՐԻ ՊԱՏԱՍԽԱՆԱՏՎՈՒԹՅՈՒՆՆԵՐԸ</w:t>
      </w:r>
    </w:p>
    <w:p>
      <w:pPr/>
      <w:r>
        <w:rPr/>
        <w:t xml:space="preserve"> </w:t>
      </w:r>
    </w:p>
    <w:p>
      <w:pPr>
        <w:numPr>
          <w:ilvl w:val="0"/>
          <w:numId w:val="10"/>
        </w:numPr>
      </w:pPr>
      <w:r>
        <w:rPr/>
        <w:t xml:space="preserve">Ծրագրի մասնակիցներն են հանդիսանում․</w:t>
      </w:r>
    </w:p>
    <w:p>
      <w:pPr>
        <w:numPr>
          <w:ilvl w:val="0"/>
          <w:numId w:val="11"/>
        </w:numPr>
      </w:pPr>
      <w:r>
        <w:rPr/>
        <w:t xml:space="preserve">պետական մարմինները, որոնք լիազորված են ծրագիրը իրականացնելու համար,</w:t>
      </w:r>
    </w:p>
    <w:p>
      <w:pPr>
        <w:numPr>
          <w:ilvl w:val="0"/>
          <w:numId w:val="11"/>
        </w:numPr>
      </w:pPr>
      <w:r>
        <w:rPr/>
        <w:t xml:space="preserve">ապրանքաշրջանառության մասնակիցներ,</w:t>
      </w:r>
    </w:p>
    <w:p>
      <w:pPr>
        <w:numPr>
          <w:ilvl w:val="0"/>
          <w:numId w:val="11"/>
        </w:numPr>
      </w:pPr>
      <w:r>
        <w:rPr/>
        <w:t xml:space="preserve">տեղեկատվական համակարգի օպերատորը։</w:t>
      </w:r>
    </w:p>
    <w:p>
      <w:pPr>
        <w:numPr>
          <w:ilvl w:val="0"/>
          <w:numId w:val="12"/>
        </w:numPr>
      </w:pPr>
      <w:r>
        <w:rPr/>
        <w:t xml:space="preserve">Ապրանքաշրջանառության մասնակիցները փորձնական ծրագրին մասնակցում են կամավոր հիմունքներով:</w:t>
      </w:r>
    </w:p>
    <w:p>
      <w:pPr>
        <w:numPr>
          <w:ilvl w:val="0"/>
          <w:numId w:val="12"/>
        </w:numPr>
      </w:pPr>
      <w:r>
        <w:rPr/>
        <w:t xml:space="preserve">Ծրագրի իրականացման լիազորված մարմին է հանդիսանում ՊԵԿ-ը, որը կապահովի․</w:t>
      </w:r>
    </w:p>
    <w:p>
      <w:pPr>
        <w:numPr>
          <w:ilvl w:val="0"/>
          <w:numId w:val="13"/>
        </w:numPr>
      </w:pPr>
      <w:r>
        <w:rPr/>
        <w:t xml:space="preserve">Ազգային օպերատորի հետ աշխատանքների համակարգումը,</w:t>
      </w:r>
    </w:p>
    <w:p>
      <w:pPr>
        <w:numPr>
          <w:ilvl w:val="0"/>
          <w:numId w:val="13"/>
        </w:numPr>
      </w:pPr>
      <w:r>
        <w:rPr/>
        <w:t xml:space="preserve">Ազգային օպերատորի հետ համատեղ փորձնական ծրագրի պլանի, ժամանակացույցի և մեթոդական առաջարկությունների մշակումը և հաստատումը,</w:t>
      </w:r>
    </w:p>
    <w:p>
      <w:pPr>
        <w:numPr>
          <w:ilvl w:val="0"/>
          <w:numId w:val="13"/>
        </w:numPr>
      </w:pPr>
      <w:r>
        <w:rPr/>
        <w:t xml:space="preserve">Փորձնական ծրագրի արդյունքների գնահատումը և ներկայացում ՀՀ կառավարությանը։</w:t>
      </w:r>
    </w:p>
    <w:p>
      <w:pPr>
        <w:numPr>
          <w:ilvl w:val="0"/>
          <w:numId w:val="14"/>
        </w:numPr>
      </w:pPr>
      <w:r>
        <w:rPr/>
        <w:t xml:space="preserve">Ազգային օպերատորը կապահովի․</w:t>
      </w:r>
    </w:p>
    <w:p>
      <w:pPr>
        <w:numPr>
          <w:ilvl w:val="0"/>
          <w:numId w:val="15"/>
        </w:numPr>
      </w:pPr>
      <w:r>
        <w:rPr/>
        <w:t xml:space="preserve">Տեղեկատվական համակարգի պահանջների մշակումը,</w:t>
      </w:r>
    </w:p>
    <w:p>
      <w:pPr>
        <w:numPr>
          <w:ilvl w:val="0"/>
          <w:numId w:val="15"/>
        </w:numPr>
      </w:pPr>
      <w:r>
        <w:rPr/>
        <w:t xml:space="preserve">Համակարգի տեղեկատվական անվտանգության պահանջների մշակումը,</w:t>
      </w:r>
    </w:p>
    <w:p>
      <w:pPr>
        <w:numPr>
          <w:ilvl w:val="0"/>
          <w:numId w:val="15"/>
        </w:numPr>
      </w:pPr>
      <w:r>
        <w:rPr/>
        <w:t xml:space="preserve">Տեղեկատվական համակարգի ներդրումը և շահագործումը,</w:t>
      </w:r>
    </w:p>
    <w:p>
      <w:pPr>
        <w:numPr>
          <w:ilvl w:val="0"/>
          <w:numId w:val="15"/>
        </w:numPr>
      </w:pPr>
      <w:r>
        <w:rPr/>
        <w:t xml:space="preserve">Փորձնական ծրագրի շրջանակներում ծրագրի մասնակիցներին նույնականացման միջոցների տրամադրումը՝ անհատույց սկզբունքով։</w:t>
      </w:r>
    </w:p>
    <w:p>
      <w:pPr/>
      <w:r>
        <w:rPr/>
        <w:t xml:space="preserve"> </w:t>
      </w:r>
    </w:p>
    <w:p>
      <w:pPr/>
      <w:r>
        <w:rPr/>
        <w:t xml:space="preserve"> </w:t>
      </w:r>
    </w:p>
    <w:p>
      <w:pPr/>
      <w:r>
        <w:rPr/>
        <w:t xml:space="preserve">VIII. ԾՐԱԳՐԻ ԻՐԱԿԱՆԱՑՈՒՄԻՑ ԱԿՆԿԱԼՎՈՂ ԱՐԴՅՈՒՆՔՆԵՐԸ</w:t>
      </w:r>
    </w:p>
    <w:p>
      <w:pPr/>
      <w:r>
        <w:rPr/>
        <w:t xml:space="preserve"> </w:t>
      </w:r>
    </w:p>
    <w:p>
      <w:pPr>
        <w:numPr>
          <w:ilvl w:val="0"/>
          <w:numId w:val="16"/>
        </w:numPr>
      </w:pPr>
      <w:r>
        <w:rPr/>
        <w:t xml:space="preserve">Որպես ծրագրի իրականացման արդյունք ակնկալվում է հետևյալը՝</w:t>
      </w:r>
    </w:p>
    <w:p>
      <w:pPr>
        <w:numPr>
          <w:ilvl w:val="0"/>
          <w:numId w:val="17"/>
        </w:numPr>
      </w:pPr>
      <w:r>
        <w:rPr/>
        <w:t xml:space="preserve">Տեսանելի հեռանկարում ունենալ մեկ դրոշմապիտակի ձև ամբողջ ԵԱՏՄ-ի համար, ինչը զգալիորեն կպարզեցնի ապրանքների արտադրման գործընթացը,</w:t>
      </w:r>
    </w:p>
    <w:p>
      <w:pPr>
        <w:numPr>
          <w:ilvl w:val="0"/>
          <w:numId w:val="17"/>
        </w:numPr>
      </w:pPr>
      <w:r>
        <w:rPr/>
        <w:t xml:space="preserve">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numPr>
          <w:ilvl w:val="0"/>
          <w:numId w:val="17"/>
        </w:numPr>
      </w:pPr>
      <w:r>
        <w:rPr/>
        <w:t xml:space="preserve">Ապրանքների նույնականացում և հետևաբար շրջանառության վերահսկում մինչև մեկ հատի ճշտությամբ,</w:t>
      </w:r>
    </w:p>
    <w:p>
      <w:pPr>
        <w:numPr>
          <w:ilvl w:val="0"/>
          <w:numId w:val="17"/>
        </w:numPr>
      </w:pPr>
      <w:r>
        <w:rPr/>
        <w:t xml:space="preserve">Ապրանքների իսկության վերահսկում հանրության կողմից՝ հատուկ բջջային հավելվածի միջոցով,</w:t>
      </w:r>
    </w:p>
    <w:p>
      <w:pPr>
        <w:numPr>
          <w:ilvl w:val="0"/>
          <w:numId w:val="17"/>
        </w:numPr>
      </w:pPr>
      <w:r>
        <w:rPr/>
        <w:t xml:space="preserve">Հնարավոր կլինի շատ ավելի ճշտգրիտ գնահատել շրջանառվող ապրանքների քանակը և, հետևաբար, զգալիորեն նվազեցնել ստվերը։</w:t>
      </w:r>
    </w:p>
    <w:p>
      <w:pPr/>
      <w:r>
        <w:rPr/>
        <w:t xml:space="preserve"> </w:t>
      </w:r>
    </w:p>
    <w:p>
      <w:pPr/>
      <w:r>
        <w:rPr/>
        <w:t xml:space="preserve">IX. ԾՐԱԳՐԻ ՌԻՍԿԵՐԸ</w:t>
      </w:r>
    </w:p>
    <w:p>
      <w:pPr/>
      <w:r>
        <w:rPr/>
        <w:t xml:space="preserve"> </w:t>
      </w:r>
    </w:p>
    <w:p>
      <w:pPr>
        <w:numPr>
          <w:ilvl w:val="0"/>
          <w:numId w:val="18"/>
        </w:numPr>
      </w:pPr>
      <w:r>
        <w:rPr/>
        <w:t xml:space="preserve">Ինչպես ցանկացած ծրագիր, այս նախագիծը նույնպես պարունակում է որոշակի ռիսկեր։ Ծրագրի իրականացման գնահատված ռիսկերը հետևյալն են․</w:t>
      </w:r>
    </w:p>
    <w:p>
      <w:pPr/>
      <w:r>
        <w:rPr/>
        <w:t xml:space="preserve">Հնարավոր է անհրաժեշտություն լինի, որ վաճառքի կետերը ձեռք բերեն Data Matrix կոդ ընթերցող սկաներներ (յուրաքանչյուրի գինը սկսած մոտ 20 000 դրամից) և համակարգիչներ։</w:t>
      </w:r>
    </w:p>
    <w:p>
      <w:pPr>
        <w:numPr>
          <w:ilvl w:val="0"/>
          <w:numId w:val="19"/>
        </w:numPr>
      </w:pPr>
      <w:r>
        <w:rPr/>
        <w:t xml:space="preserve">Չնայած նշված ռիսկերին,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r>
        <w:rPr/>
        <w:t xml:space="preserve">X.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ՊԵԿ էլեկտրոնային կառավարման համակարգերում ծրագրի իրականացման նպատակով կատարվող փոփոխությունները լրացուցիչ ֆինանսական միջոցների պահանջ չեն առաջացնելու։</w:t>
      </w:r>
    </w:p>
    <w:p>
      <w:pPr/>
      <w:r>
        <w:rPr/>
        <w:t xml:space="preserve">28․ Ծրագրի իրականացման ընթացքում դրոշմանիշերի տրամադրման հետ կապված ծախսերը իրականացնելու է օպերատորը։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EE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8520F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2B99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26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817B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76EBF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2D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2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B5D2A"/>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E6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ACC7ED"/>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C5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910B62"/>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87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9EE070"/>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F4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8E5F60"/>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1FA71E"/>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2026-03-31T02:31:39+04:00</dcterms:created>
  <dcterms:modified xsi:type="dcterms:W3CDTF">2026-03-31T02:31:39+04:00</dcterms:modified>
</cp:coreProperties>
</file>

<file path=docProps/custom.xml><?xml version="1.0" encoding="utf-8"?>
<Properties xmlns="http://schemas.openxmlformats.org/officeDocument/2006/custom-properties" xmlns:vt="http://schemas.openxmlformats.org/officeDocument/2006/docPropsVTypes"/>
</file>