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«ՈՍՏԻԿԱՆՈՒԹՅԱՆ ԾԱՌԱՅՈՂՆԵՐԻ ԱՏԵՍՏԱՎՈՐՄԱՆ ԱՐԴՅՈՒՆՔՆԵՐՈՎ ՀԱՇՎԱՐԿՎՈՂ ՀԱՎԵԼԱՎՃԱՐԻ ՉԱՓԵՐԸ ԵՎ ՎՃԱՐՄԱՆ ԿԱՐԳԸ ՍԱՀՄԱՆԵԼՈՒ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 Ւ Մ</w:t>
      </w:r>
    </w:p>
    <w:p>
      <w:pPr>
        <w:jc w:val="center"/>
      </w:pPr>
      <w:r>
        <w:rPr/>
        <w:t xml:space="preserve">2023 թվականի           N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ՈՍՏԻԿԱՆՈՒԹՅԱՆ ԾԱՌԱՅՈՂՆԵՐԻ ԱՏԵՍՏԱՎՈՐՄԱՆ</w:t>
      </w:r>
      <w:r>
        <w:rPr>
          <w:b w:val="1"/>
          <w:bCs w:val="1"/>
        </w:rPr>
        <w:t xml:space="preserve"> ԱՐԴՅՈՒՆՔՆԵՐՈՎ ՀԱՇՎԱՐԿՎՈՂ ՀԱՎԵԼԱՎՃԱՐԻ ՉԱՓԵՐԸ ԵՎ ՎՃԱՐՄԱՆ ԿԱՐԳԸ ՍԱՀՄԱՆԵԼՈՒ ՄԱՍԻՆ</w:t>
      </w:r>
    </w:p>
    <w:p>
      <w:pPr>
        <w:jc w:val="both"/>
      </w:pPr>
      <w:r>
        <w:rPr/>
        <w:t xml:space="preserve">«Ոստիկանությունում ծառայության մասին» օրենքի 15-րդ հոդվածի 20-րդ մասի և «Պետական պաշտոններ և պետական ծառայության պաշտոններ զբաղեցնող անձանց վարձատրության մասին» Հայաստանի Հանրապետության օրենքի 16-րդ հոդվածի 5.1-ին մասի համաձայն` Հայաստանի Հանրապետության կառավարությունը որոշում է.</w:t>
      </w:r>
    </w:p>
    <w:p>
      <w:pPr>
        <w:jc w:val="both"/>
      </w:pPr>
      <w:r>
        <w:rPr/>
        <w:t xml:space="preserve">1․ Սահմանել ոստիկանության ծառայողների ատեստավորման արդյունքներով հաշվարկվող հավելավճարի չափերը՝ համաձայն հավելվածի:</w:t>
      </w:r>
    </w:p>
    <w:p>
      <w:pPr>
        <w:jc w:val="both"/>
      </w:pPr>
      <w:r>
        <w:rPr/>
        <w:t xml:space="preserve">2․ Սահմանել, որ՝</w:t>
      </w:r>
    </w:p>
    <w:p>
      <w:pPr>
        <w:jc w:val="both"/>
      </w:pPr>
      <w:r>
        <w:rPr/>
        <w:t xml:space="preserve">1) սույն որոշմամբ սահմանված հավելավճարները` ըստ ոստիկանության գլխավոր, ավագ, միջին և կրտսեր խմբերի պաշտոն զբաղեցնող ծառայողների, ինչպես նաև ոստիկանության պետի տեղակալների ատեստավորման արդյունքների, սահմանվում են յուրաքանչյուր տարվա Հայաստանի Հանրապետության պետական բյուջեով Հայաստանի Հանրապետության ներքին գործերի նախարարությանը հատկացված աշխատավարձի ֆոնդի սահմաններում,</w:t>
      </w:r>
    </w:p>
    <w:p>
      <w:pPr>
        <w:jc w:val="both"/>
      </w:pPr>
      <w:r>
        <w:rPr/>
        <w:t xml:space="preserve">2) ոստիկանության ծառայողների ատեստավորման արդյունքներով հավելավճարը վճարվում է ատեստավորման օրվան հաջորդող ամսվա 1-ից,</w:t>
      </w:r>
    </w:p>
    <w:p>
      <w:pPr>
        <w:jc w:val="both"/>
      </w:pPr>
      <w:r>
        <w:rPr/>
        <w:t xml:space="preserve">3) հավելավճարների վճարումն իրականացվում է ոստիկանության ծառայողների դրամական ապահովության վճարման հետ միաժամանակ:</w:t>
      </w:r>
    </w:p>
    <w:p>
      <w:pPr>
        <w:jc w:val="both"/>
      </w:pPr>
      <w:r>
        <w:rPr/>
        <w:t xml:space="preserve">3․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2023թ.</w:t>
      </w:r>
    </w:p>
    <w:p>
      <w:pPr>
        <w:jc w:val="end"/>
      </w:pPr>
      <w:r>
        <w:rPr/>
        <w:t xml:space="preserve">________ ____-ի N    -Ն որոշման</w:t>
      </w:r>
    </w:p>
    <w:tbl>
      <w:tblGrid>
        <w:gridCol w:w="525" w:type="dxa"/>
        <w:gridCol w:w="660" w:type="dxa"/>
        <w:gridCol w:w="5700" w:type="dxa"/>
        <w:gridCol w:w="2820" w:type="dxa"/>
      </w:tblGrid>
      <w:tblPr>
        <w:tblW w:w="9705" w:type="dxa"/>
        <w:tblLayout w:type="autofit"/>
      </w:tblPr>
      <w:tr>
        <w:trPr/>
        <w:tc>
          <w:tcPr>
            <w:tcW w:w="970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ՀՀ ներքին գործերի նախարարության ծառայողներին ատեստավորման արդյունքներով հաշվարկվող հավելավճարների չափերը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6360" w:type="dxa"/>
            <w:gridSpan w:val="2"/>
            <w:noWrap/>
          </w:tcPr>
          <w:p>
            <w:pPr/>
            <w:r>
              <w:rPr/>
              <w:t xml:space="preserve">Զինվորական պաշտոնների խմբերը` ըստ խմբային համարակալման և զինվորական կոչումների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Հավելավճարների չափերը</w:t>
            </w:r>
            <w:br/>
            <w:r>
              <w:rPr/>
              <w:t xml:space="preserve"> (դրամ)</w:t>
            </w:r>
          </w:p>
        </w:tc>
      </w:tr>
      <w:tr>
        <w:trPr/>
        <w:tc>
          <w:tcPr>
            <w:tcW w:w="970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ՀՀ ՆԳՆ ոստիկանության զորքեր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550,000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Փոխգնդապետ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450,000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400,000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Մայոր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Կապիտան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լեյտենանտ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լեյտենանտ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ենթասպա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300,000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8/6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Ենթասպա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7/3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250,000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7/1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սերժանտ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5/5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Սերժանտ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5/2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3/6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Շարքային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3/4</w:t>
            </w:r>
          </w:p>
        </w:tc>
      </w:tr>
      <w:tr>
        <w:trPr/>
        <w:tc>
          <w:tcPr>
            <w:tcW w:w="970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970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ՀՀ ՆԳՆ ոստիկանության ծառայողներ և ՀՀ ՆԳՆ-ում ոստիկանության ծառայության պաշտոններ զբաղեցնող ծառայողներ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ՀՀ ՆԳՆ ոստիկանության պետի տեղակալ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200,000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Գեներալական կազմ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520,000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500,000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Փոխգնդապետ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29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400,000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Մայոր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300,000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Կապիտան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լեյտենանտ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լեյտենանտ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ենթասպա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210,000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8/6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Ենթասպա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7/3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7/1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սերժանտ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5/5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Սերժանտ</w:t>
            </w:r>
          </w:p>
        </w:tc>
      </w:tr>
      <w:tr>
        <w:trPr/>
        <w:tc>
          <w:tcPr>
            <w:tcW w:w="970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0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ՀՀ ՆԳՆ ոստիկանության պարեկային ծառայություն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ՀՀ ՆԳՆ ոստիկանության պետի տեղակալ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200,000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420,000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Փոխգնդապետ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29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350,000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Մայոր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290,000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Կապիտան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18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17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16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լեյտենանտ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լեյտենանտ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ենթասպա</w:t>
            </w:r>
          </w:p>
        </w:tc>
        <w:tc>
          <w:tcPr>
            <w:tcW w:w="2820" w:type="dxa"/>
            <w:noWrap/>
          </w:tcPr>
          <w:p>
            <w:pPr/>
            <w:r>
              <w:rPr/>
              <w:t xml:space="preserve">230,000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9/3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8/6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Ենթասպա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8/5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8/3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7/3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7/1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Ավագ սերժանտ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6/4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6/2</w:t>
            </w:r>
          </w:p>
        </w:tc>
      </w:tr>
      <w:tr>
        <w:trPr/>
        <w:tc>
          <w:tcPr>
            <w:tcW w:w="525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660" w:type="dxa"/>
            <w:noWrap/>
          </w:tcPr>
          <w:p>
            <w:pPr/>
            <w:r>
              <w:rPr/>
              <w:t xml:space="preserve">5/5</w:t>
            </w:r>
          </w:p>
        </w:tc>
        <w:tc>
          <w:tcPr>
            <w:tcW w:w="5700" w:type="dxa"/>
            <w:noWrap/>
          </w:tcPr>
          <w:p>
            <w:pPr/>
            <w:r>
              <w:rPr/>
              <w:t xml:space="preserve">Սերժանտ</w:t>
            </w:r>
          </w:p>
        </w:tc>
      </w:tr>
      <w:tr>
        <w:trPr/>
        <w:tc>
          <w:tcPr>
            <w:tcW w:w="9705" w:type="dxa"/>
            <w:gridSpan w:val="4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2026-04-01T23:33:15+04:00</dcterms:created>
  <dcterms:modified xsi:type="dcterms:W3CDTF">2026-04-01T23:33:15+04:00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