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 ՔԱՂԱՔՈՒՄ ՏԵՂԱԿԱՆ ԻՆՔՆԱԿԱՌԱՎԱՐՄԱՆ ՄԱՍԻՆ» ՕՐԵՆՔՈՒՄ ԼՐԱՑՈՒՄՆԵՐ ԵՎ ՓՈՓՈԽՈՒԹՅՈՒՆ ԿԱՏԱՐԵԼՈՒ ՄԱՍԻՆ», «ՎԱՐՉԱԿԱՆ ԻՐԱՎԱԽԱԽՏՈՒՄՆԵՐԻ ՎԵՐԱԲԵՐՅԱԼ ՀԱՅԱՍՏԱՆԻ ՀԱՆՐԱՊԵՏՈՒԹՅԱՆ ՕՐԵՆՍԳՐՔՈՒՄ ԼՐԱՑՈՒՄՆԵՐ ԿԱՏԱՐԵԼՈՒ ՄԱՍԻՆ» ՕՐԵՆՔՆԵՐԻ ՆԱԽԱԳԾԵՐ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«ԵՐԵՎԱՆ ՔԱՂԱՔՈՒՄ ՏԵՂԱԿԱՆ ԻՆՔՆԱԿԱՌԱՎԱՐՄԱՆ ՄԱՍԻՆ» ՕՐԵՆՔՈՒՄ ԼՐԱՑՈՒՄՆԵՐ ԵՎ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«Երևան քաղաքում տեղական ինքնակառավարման մասին» 2008 թվականի դեկտեմբերի 26-ի ՀՕ-5-Ն օրենքի (այսուհետ՝ Օրենք) 12-րդ հոդվածի 1-ին մասը լրացնել նոր 41-րդ կետով.</w:t>
      </w:r>
    </w:p>
    <w:p>
      <w:pPr/>
      <w:r>
        <w:rPr/>
        <w:t xml:space="preserve">«41) սահմանում է Երևանի վարչական տարածքում (բացառությամբ միջպետական և հանրապետական նշանակության ավտոմոբիլային ճանապարհների տարանցիկ հատվածների) բեռնափոխադրման, այդ թվում նաև՝ շինանյութի տեղափոխման կազմակերպման պահանջները, պայմանները, սահմանափակումները:»: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57-րդ հոդվածի 1-ին մասում.</w:t>
      </w:r>
    </w:p>
    <w:p>
      <w:pPr/>
      <w:r>
        <w:rPr/>
        <w:t xml:space="preserve">1) 4-րդ կետում «վերջակետ» կետադրական նշանը փոխարինել «միջակետ» կետադրական նշանով.</w:t>
      </w:r>
    </w:p>
    <w:p>
      <w:pPr/>
      <w:r>
        <w:rPr/>
        <w:t xml:space="preserve">2) լրացնել նոր 5-րդ կետ.</w:t>
      </w:r>
    </w:p>
    <w:p>
      <w:pPr/>
      <w:r>
        <w:rPr/>
        <w:t xml:space="preserve">«5) վերահսկողություն է իրականացնում Երևանի վարչական տարածքում (բացառությամբ միջպետական և հանրապետական նշանակության ավտոմոբիլային ճանապարհների) բեռնափոխադրման, այդ թվում նաև՝ շինանյութի տեղափոխման կազմակերպման պահանջների, պայմանների, սահմանափակումների պահպանման նկատմամբ:»: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ՎԱՐՉԱԿԱՆ ԻՐԱՎԱԽԱԽՏՈՒՄՆԵՐԻ ՎԵՐԱԲԵՐՅԱԼ ՀԱՅԱՍՏԱՆԻ ՀԱՆՐԱՊԵՏՈՒԹՅԱՆ ՕՐԵՆՍԳՐՔՈՒՄ ԼՐԱՑՈՒՄՆԵՐ ԿԱՏԱՐԵԼՈՒ ՄԱՍԻՆ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1985 թվականի դեկտեմբերի 6-ի Վարչական իրավախախտումների վերաբերյալ Հայաստանի Հանրապետության օրենսգիրքը (այսուհետ՝ Oրենսգիրք) լրացնել նոր 137.9-րդ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137.9. Երևան քաղաքի վարչական տարածքում (բացառությամբ միջպետական և հանրապետական նշանակության ավտոմոբիլային ճանապարհների) բեռնափոխադրման, այդ թվում նաև՝ շինանյութի տեղափոխման կազմակերպման պահանջները, պայմանները, սահմանափակումները խախտելը</w:t>
      </w:r>
    </w:p>
    <w:p>
      <w:pPr>
        <w:numPr>
          <w:ilvl w:val="0"/>
          <w:numId w:val="2"/>
        </w:numPr>
      </w:pPr>
      <w:r>
        <w:rPr/>
        <w:t xml:space="preserve">Երևան քաղաքի վարչական տարածքում (բացառությամբ միջպետական և հանրապետական նշանակության ավտոմոբիլային ճանապարհների տարանցիկ հատվածների) բեռնափոխադրման, այդ թվում նաև՝ շինանյութի տեղափոխման կազմակերպման պահանջները, պայմանները, սահմանափակումները խախտելը</w:t>
      </w:r>
    </w:p>
    <w:p>
      <w:pPr/>
      <w:r>
        <w:rPr/>
        <w:t xml:space="preserve"> առաջացնում է տուգանքի նշանակում՝ սահմանված նվազագույն աշխատավարձի երկուհարյուրապատիկից երեքհարյուրապատիկի չափով:</w:t>
      </w:r>
    </w:p>
    <w:p>
      <w:pPr>
        <w:numPr>
          <w:ilvl w:val="0"/>
          <w:numId w:val="3"/>
        </w:numPr>
      </w:pPr>
      <w:r>
        <w:rPr/>
        <w:t xml:space="preserve">Սույն հոդվածի 1-ին մասով նախատեսված արարքը կրկին կատարելը վարչական տույժի միջոց կիրառելուց հետո՝ մեկ տարվա ընթացքում՝</w:t>
      </w:r>
    </w:p>
    <w:p>
      <w:pPr/>
      <w:r>
        <w:rPr/>
        <w:t xml:space="preserve">առաջացնում է տուգանքի նշանակում` սահմանված նվազագույն աշխատավարձի հինգհարյուրապատիկից մինչև ութհարյուրապատիկի չափով»: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219.1-ին հոդվածի 2-րդ մասում «124.7-րդ հոդվածով,» բառերից հետո լրացնել «137.9-րդ հոդվածով» 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17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E630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2026-04-03T20:08:10+04:00</dcterms:created>
  <dcterms:modified xsi:type="dcterms:W3CDTF">2026-04-03T20:08:10+04:00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