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1997 ԹՎԱԿԱՆԻ ԱՊՐԻԼԻ 30-Ի N 110 ՈՐՈՇՄԱՆ ՄԵՋ ՓՈՓՈԽՈՒԹՅՈՒՆՆԵՐ ԿԱՏԱՐԵԼՈՒ ԵՎ ՀԱՅԱՍՏԱՆԻ ՀԱՆՐԱՊԵՏՈՒԹՅԱՆ ԿԱՌԱՎԱՐՈՒԹՅԱՆ 2000 ԹՎԱԿԱՆԻ ՕԳՈՍՏՈՍԻ 2-Ի N 432 ԵՎ 2002 ԹՎԱԿԱՆԻ ՄԱՐՏԻ 12-Ի N 229 ՈՐՈՇՈՒՄՆԵՐՆ ՈՒԺԸ ԿՈՐՑՐԱԾ ՃԱՆԱՉԵԼՈՒ ՄԱՍԻՆ  ՀՀ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___________________ 2022 թվականի N ____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1997 ԹՎԱԿԱՆԻ ԱՊՐԻԼԻ 30-Ի N 110 ՈՐՈՇՄԱՆ ՄԵՋ ՓՈՓՈԽՈՒԹՅՈՒՆՆԵՐ ԿԱՏԱՐԵԼՈՒ </w:t>
      </w:r>
      <w:r>
        <w:rPr>
          <w:b w:val="1"/>
          <w:bCs w:val="1"/>
        </w:rPr>
        <w:t xml:space="preserve">ԵՎ ՀԱՅԱՍՏԱՆԻ ՀԱՆՐԱՊԵՏՈՒԹՅԱՆ ԿԱՌԱՎԱՐՈՒԹՅԱՆ 2000 ԹՎԱԿԱՆԻ ՕԳՈՍՏՈՍԻ 2-Ի N 432 ԵՎ 2002 ԹՎԱԿԱՆԻ ՄԱՐՏԻ 12-Ի N 229 ՈՐՈՇՈՒՄՆԵՐՆ ՈՒԺԸ ԿՈՐՑՐԱԾ ՃԱՆԱՉԵԼՈՒ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33-րդ,  34-րդ հոդվածներով և 37-րդ հոդվածի 1-ին մասով`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1997 թվականի ապրիլի 30-ի «</w:t>
      </w:r>
      <w:r>
        <w:rPr>
          <w:b w:val="1"/>
          <w:bCs w:val="1"/>
        </w:rPr>
        <w:t xml:space="preserve">Բնակարանաշինարարական կոոպերատիվների վարչությունների և փայատերերի հետ փոխհաշվարկ կատարելու կարգը հաստատելու մասին</w:t>
      </w:r>
      <w:r>
        <w:rPr/>
        <w:t xml:space="preserve">» N 110 որոշմամբ հաստատված </w:t>
      </w:r>
      <w:r>
        <w:rPr>
          <w:b w:val="1"/>
          <w:bCs w:val="1"/>
        </w:rPr>
        <w:t xml:space="preserve">բնակարանաշինարարական կոոպերատիվների վարչությունների և փայատերերի հետ փոխհաշվարկի կատարման կարգի 3-րդ, 7-րդ և 8-րդ կետերը ուժը կորցրած ճանաչել: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2000 թվականի օգոստոսի 2-ի «Անավարտ շինարարության բնակարանաշինարարական կոոպերատիվների փայատերերի կողմից խորհրդային միության ռուբլով վճարված գումարի արժեզրկումից փայատերերի կրած կորուստների դիմաց դրամական օգնության տրամադրման կարգը հաստատելու մասին» N 432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2002 թվականի մարտի 12-ի «Ա</w:t>
      </w:r>
      <w:r>
        <w:rPr>
          <w:b w:val="1"/>
          <w:bCs w:val="1"/>
        </w:rPr>
        <w:t xml:space="preserve">նավարտ շինարարության բնակարանաշինարարական կոոպերատիվների փայատերերի կողմից խորհրդային միության ռուբլով</w:t>
      </w:r>
      <w:r>
        <w:rPr/>
        <w:t xml:space="preserve"> </w:t>
      </w:r>
      <w:r>
        <w:rPr>
          <w:b w:val="1"/>
          <w:bCs w:val="1"/>
        </w:rPr>
        <w:t xml:space="preserve">վճարված</w:t>
      </w:r>
      <w:r>
        <w:rPr/>
        <w:t xml:space="preserve"> </w:t>
      </w:r>
      <w:r>
        <w:rPr>
          <w:b w:val="1"/>
          <w:bCs w:val="1"/>
        </w:rPr>
        <w:t xml:space="preserve">օգնության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/>
        <w:t xml:space="preserve"> </w:t>
      </w:r>
      <w:r>
        <w:rPr>
          <w:b w:val="1"/>
          <w:bCs w:val="1"/>
        </w:rPr>
        <w:t xml:space="preserve">ժամանակացույցի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/>
        <w:t xml:space="preserve">» N 229 որոշումը.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83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4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119D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2026-03-31T07:28:06+04:00</dcterms:created>
  <dcterms:modified xsi:type="dcterms:W3CDTF">2026-03-31T07:28:06+04:00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