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«ՀԱՇՄԱՆԴԱՄՈՒԹՅՈՒՆ ՈՒՆԵՑՈՂ ԱՆՁԱՆՑ ԻՐԱՎՈՒՆՔՆԵՐԻ ՄԱՍԻՆ»  ՕՐԵՆՔՈՒՄ ԼՐԱՑՈՒՄՆԵՐ ԿԱՏԱՐԵԼՈՒ ՄԱՍԻՆ ՀՀ ՕՐԵՆՔԻ ՆԱԽԱԳԻԾ ԵՎ  «ԱՆՁԻ ՖՈՒՆԿՑԻՈՆԱԼՈՒԹՅԱՆ ԳՆԱՀԱՏՄԱՆ ՄԱՍԻՆ» ՕՐԵՆՔՈՒՄ ՓՈՓՈԽՈՒԹՅՈՒՆ ԿԱՏԱՐԵԼՈՒ ՄԱՍԻՆ 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ԱՆՁԻ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ՖՈՒՆԿՑԻՈՆԱԼՈՒԹՅԱՆ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ԳՆԱՀԱՏՄԱՆ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</w:p>
    <w:p>
      <w:pPr>
        <w:jc w:val="center"/>
      </w:pP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Անձի ֆունկցիոնալության գնահատման մասին</w:t>
      </w:r>
      <w:r>
        <w:rPr>
          <w:b w:val="1"/>
          <w:bCs w:val="1"/>
        </w:rPr>
        <w:t xml:space="preserve">»</w:t>
      </w:r>
      <w:r>
        <w:rPr/>
        <w:t xml:space="preserve"> 2021 թվականի մայիսի 5-ի ՀՕ-195-Ն օրենքի 13-րդ հոդվածի </w:t>
      </w:r>
      <w:r>
        <w:rPr>
          <w:b w:val="1"/>
          <w:bCs w:val="1"/>
        </w:rPr>
        <w:t xml:space="preserve">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մասում</w:t>
      </w:r>
      <w:r>
        <w:rPr>
          <w:b w:val="1"/>
          <w:bCs w:val="1"/>
        </w:rPr>
        <w:t xml:space="preserve"> «2021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ից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բառերը</w:t>
      </w:r>
      <w:r>
        <w:rPr/>
        <w:t xml:space="preserve"> </w:t>
      </w:r>
      <w:r>
        <w:rPr>
          <w:b w:val="1"/>
          <w:bCs w:val="1"/>
        </w:rPr>
        <w:t xml:space="preserve">փոխարինել</w:t>
      </w:r>
      <w:r>
        <w:rPr/>
        <w:t xml:space="preserve"> </w:t>
      </w:r>
      <w:r>
        <w:rPr>
          <w:b w:val="1"/>
          <w:bCs w:val="1"/>
        </w:rPr>
        <w:t xml:space="preserve">«սույն օրենքի 5-րդ հոդվածի 1-ին 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 3-րդ կետով սահմանված </w:t>
      </w:r>
      <w:r>
        <w:rPr>
          <w:b w:val="1"/>
          <w:bCs w:val="1"/>
        </w:rPr>
        <w:t xml:space="preserve">անձի ֆունկցիոնալության գնահատման կարգի, չափորոշիչների և գործիքների </w:t>
      </w:r>
      <w:r>
        <w:rPr>
          <w:b w:val="1"/>
          <w:bCs w:val="1"/>
        </w:rPr>
        <w:t xml:space="preserve">հաստատ</w:t>
      </w:r>
      <w:r>
        <w:rPr>
          <w:b w:val="1"/>
          <w:bCs w:val="1"/>
        </w:rPr>
        <w:t xml:space="preserve">ման վերաբերյալ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որոշումն </w:t>
      </w:r>
      <w:r>
        <w:rPr>
          <w:b w:val="1"/>
          <w:bCs w:val="1"/>
        </w:rPr>
        <w:t xml:space="preserve">ուժի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մտնել</w:t>
      </w:r>
      <w:r>
        <w:rPr>
          <w:b w:val="1"/>
          <w:bCs w:val="1"/>
        </w:rPr>
        <w:t xml:space="preserve">ու պահից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բառերով</w:t>
      </w:r>
      <w:r>
        <w:rPr>
          <w:b w:val="1"/>
          <w:bCs w:val="1"/>
        </w:rPr>
        <w:t xml:space="preserve">:</w:t>
      </w:r>
    </w:p>
    <w:p>
      <w:pPr>
        <w:jc w:val="both"/>
      </w:pPr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հրապարակմանը հաջորդող օրվանից և դրա գործողությունը տարածվում է 2021 թվականի սեպտեմբերի 1-ից ծագած հարաբերությունների վրա: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ՈՒՆԵՑՈՂ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</w:p>
    <w:p>
      <w:pPr>
        <w:jc w:val="center"/>
      </w:pP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աշմանդամություն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ունեցող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» </w:t>
      </w:r>
      <w:r>
        <w:rPr>
          <w:b w:val="1"/>
          <w:bCs w:val="1"/>
        </w:rPr>
        <w:t xml:space="preserve">2021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5-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-194-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այսուհետ՝</w:t>
      </w:r>
      <w:r>
        <w:rPr/>
        <w:t xml:space="preserve"> «Օրենք</w:t>
      </w:r>
      <w:r>
        <w:rPr>
          <w:b w:val="1"/>
          <w:bCs w:val="1"/>
        </w:rPr>
        <w:t xml:space="preserve">») 10-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մասի</w:t>
      </w:r>
      <w:r>
        <w:rPr/>
        <w:t xml:space="preserve"> </w:t>
      </w:r>
      <w:r>
        <w:rPr>
          <w:b w:val="1"/>
          <w:bCs w:val="1"/>
        </w:rPr>
        <w:t xml:space="preserve">5-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կետի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ներառման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բառից</w:t>
      </w:r>
      <w:r>
        <w:rPr/>
        <w:t xml:space="preserve"> </w:t>
      </w:r>
      <w:r>
        <w:rPr>
          <w:b w:val="1"/>
          <w:bCs w:val="1"/>
        </w:rPr>
        <w:t xml:space="preserve">հետո</w:t>
      </w:r>
      <w:r>
        <w:rPr/>
        <w:t xml:space="preserve"> </w:t>
      </w:r>
      <w:r>
        <w:rPr>
          <w:b w:val="1"/>
          <w:bCs w:val="1"/>
        </w:rPr>
        <w:t xml:space="preserve">լրացնել</w:t>
      </w:r>
      <w:r>
        <w:rPr>
          <w:b w:val="1"/>
          <w:bCs w:val="1"/>
        </w:rPr>
        <w:t xml:space="preserve"> «,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/>
        <w:t xml:space="preserve"> </w:t>
      </w:r>
      <w:r>
        <w:rPr>
          <w:b w:val="1"/>
          <w:bCs w:val="1"/>
        </w:rPr>
        <w:t xml:space="preserve">աջակցող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  <w:r>
        <w:rPr/>
        <w:t xml:space="preserve"> </w:t>
      </w:r>
      <w:r>
        <w:rPr>
          <w:b w:val="1"/>
          <w:bCs w:val="1"/>
        </w:rPr>
        <w:t xml:space="preserve">տրամադրման</w:t>
      </w:r>
      <w:r>
        <w:rPr/>
        <w:t xml:space="preserve"> </w:t>
      </w:r>
      <w:r>
        <w:rPr>
          <w:b w:val="1"/>
          <w:bCs w:val="1"/>
        </w:rPr>
        <w:t xml:space="preserve">ցուցումների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բառերը</w:t>
      </w:r>
      <w:r>
        <w:rPr>
          <w:b w:val="1"/>
          <w:bCs w:val="1"/>
        </w:rPr>
        <w:t xml:space="preserve">:</w:t>
      </w:r>
    </w:p>
    <w:p>
      <w:pPr/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23-րդ հոդվածը լրացնել հետևյալ բովանդակությամբ նոր 3.1 մասով.</w:t>
      </w:r>
    </w:p>
    <w:p>
      <w:pPr>
        <w:jc w:val="both"/>
      </w:pPr>
      <w:r>
        <w:rPr/>
        <w:t xml:space="preserve">«3.1 Սույն օրենքն ուժի մեջ մտնելուց հետո մինչև </w:t>
      </w:r>
      <w:r>
        <w:rPr>
          <w:b w:val="1"/>
          <w:bCs w:val="1"/>
        </w:rPr>
        <w:t xml:space="preserve">անձի ֆունկցիոնալության գնահատման կարգի, չափորոշիչների և գործիքների </w:t>
      </w:r>
      <w:r>
        <w:rPr>
          <w:b w:val="1"/>
          <w:bCs w:val="1"/>
        </w:rPr>
        <w:t xml:space="preserve">հաստատ</w:t>
      </w:r>
      <w:r>
        <w:rPr>
          <w:b w:val="1"/>
          <w:bCs w:val="1"/>
        </w:rPr>
        <w:t xml:space="preserve">ման վերաբերյալ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որոշումն </w:t>
      </w:r>
      <w:r>
        <w:rPr>
          <w:b w:val="1"/>
          <w:bCs w:val="1"/>
        </w:rPr>
        <w:t xml:space="preserve">ուժի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մտնել</w:t>
      </w:r>
      <w:r>
        <w:rPr>
          <w:b w:val="1"/>
          <w:bCs w:val="1"/>
        </w:rPr>
        <w:t xml:space="preserve">ը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բժշկասոցիալական փորձաքննության ոլորտում իրավասու պետական մարմինը՝ Միասնական սոցիալական ծառայությունը, օրենսդրությամբ սահմանված կարգով՝</w:t>
      </w:r>
    </w:p>
    <w:p>
      <w:pPr/>
      <w:r>
        <w:rPr/>
        <w:t xml:space="preserve">ա. անձին ճանաչում է հաշմանդամություն ունեցող անձ, սահմանում է հաշմանդամության խումբը (1-ին, 2-րդ և 3-րդ խումբ), հաշմանդամություն ունեցող երեխայի կարգավիճակը, որոշում է հաշմանդամության պատճառական կապը, ժամկետը.</w:t>
      </w:r>
    </w:p>
    <w:p>
      <w:pPr/>
      <w:r>
        <w:rPr/>
        <w:t xml:space="preserve">բ․ մշակում և հաստատում է հաշմանդամություն ունեցող անձի վերականգնողական անհատական ծրագիրը (ՎԱԾ).</w:t>
      </w:r>
    </w:p>
    <w:p>
      <w:pPr>
        <w:jc w:val="both"/>
      </w:pPr>
      <w:r>
        <w:rPr/>
        <w:t xml:space="preserve">գ. բժշկասոցիալական փորձաքննություն անցնող անձանց անհրաժեշտության դեպքում ուղեգիր է տրամադրում լրացուցիչ հետազոտություններ իրականացնելու համար.</w:t>
      </w:r>
    </w:p>
    <w:p>
      <w:pPr>
        <w:jc w:val="both"/>
      </w:pPr>
      <w:r>
        <w:rPr/>
        <w:t xml:space="preserve"> դ. որոշում է անձի մասնագիտական աշխատունակության կորստի աստիճանը աշխատանքային պարտականությունների կատարման հետ կապված խեղման, մասնագիտական հիվանդության կամ առողջությանը հասցված այլ վնասի դեպքում, թույլատրում են երկարաձգել ժամանակավոր անաշխատունակության թերթիկի ժամկետը.</w:t>
      </w:r>
    </w:p>
    <w:p>
      <w:pPr>
        <w:jc w:val="both"/>
      </w:pPr>
      <w:r>
        <w:rPr/>
        <w:t xml:space="preserve">ե. աշխատանքային խեղումների և մասնագիտական հիվանդությունների դեպքերում գործատուներից ստանում է անհրաժեշտ տվյալներ համապատասխան անձանց աշխատանքի բնույթի և պայմանների վերաբերյալ.</w:t>
      </w:r>
    </w:p>
    <w:p>
      <w:pPr>
        <w:jc w:val="both"/>
      </w:pPr>
      <w:r>
        <w:rPr/>
        <w:t xml:space="preserve">զ․ որոշում է տուժած անձանց մահվան պատճառական կապը արտադրական խեղման, մասնագիտական հիվանդության, ռազմաճակատում գտնվելու, զինվորական ծառայության և այլ հանգամանքների հետ.</w:t>
      </w:r>
    </w:p>
    <w:p>
      <w:pPr/>
      <w:r>
        <w:rPr/>
        <w:t xml:space="preserve">է. մասնակցում է բժշկասոցիալական փորձաքննություն անցած անձանց հաշվառման տեղեկատվական համակարգի վարմանը.</w:t>
      </w:r>
    </w:p>
    <w:p>
      <w:pPr/>
      <w:r>
        <w:rPr/>
        <w:t xml:space="preserve">ը. իրականացնում է այլ լիազորություններ:</w:t>
      </w:r>
    </w:p>
    <w:p>
      <w:pPr/>
      <w:r>
        <w:rPr/>
        <w:t xml:space="preserve">2) բժշկասոցիալական փորձաքննությամբ հաշմանդամության պատճառական կապը սահմանվում է հաշմանդամություն առաջացնող ախտաբանական վիճակի և այդ ախտաբանական վիճակի առաջացման պատճառի (անմիջական կապ կամ հետևանք) վերաբերյալ փաստաթղթերում եղած տվյալների հիման վրա:</w:t>
      </w:r>
    </w:p>
    <w:p>
      <w:pPr/>
      <w:r>
        <w:rPr/>
        <w:t xml:space="preserve">3) Հաշմանդամության պատճառ կարող են լինել՝</w:t>
      </w:r>
    </w:p>
    <w:p>
      <w:pPr/>
      <w:r>
        <w:rPr/>
        <w:t xml:space="preserve">ա.  մանկուց (մինչև 18 տարին լրանալը) ձեռք բերած հիվանդությունը.</w:t>
      </w:r>
    </w:p>
    <w:p>
      <w:pPr/>
      <w:r>
        <w:rPr/>
        <w:t xml:space="preserve">բ․ ընդհանուր հիվանդությունը.</w:t>
      </w:r>
    </w:p>
    <w:p>
      <w:pPr/>
      <w:r>
        <w:rPr/>
        <w:t xml:space="preserve">գ․ աշխատանքային վնասվածքը.</w:t>
      </w:r>
    </w:p>
    <w:p>
      <w:pPr/>
      <w:r>
        <w:rPr/>
        <w:t xml:space="preserve">դ․ մասնագիտական հիվանդությունը.</w:t>
      </w:r>
    </w:p>
    <w:p>
      <w:pPr/>
      <w:r>
        <w:rPr/>
        <w:t xml:space="preserve">ե․ բնական, տեխնածին և այլ աղետները, ինչպես նաև դրանց վերացման աշխատանքների ժամանակ ձեռք բերած հիվանդությունը կամ ստացած վնասվածքը.</w:t>
      </w:r>
    </w:p>
    <w:p>
      <w:pPr/>
      <w:r>
        <w:rPr/>
        <w:t xml:space="preserve">զ․ զինվորական ծառայության ընթացքում ձեռք բերած հիվանդությունը կամ ստացած վնասվածքը.</w:t>
      </w:r>
    </w:p>
    <w:p>
      <w:pPr>
        <w:jc w:val="both"/>
      </w:pPr>
      <w:r>
        <w:rPr/>
        <w:t xml:space="preserve">է․ զինվորական պարտականությունները կատարելու հետևանքով ձեռք բերած հիվանդությունը կամ ստացած վնասվածքը.</w:t>
      </w:r>
    </w:p>
    <w:p>
      <w:pPr>
        <w:jc w:val="both"/>
      </w:pPr>
      <w:r>
        <w:rPr/>
        <w:t xml:space="preserve">ը․Հայաստանի Հանրապետության պաշտպանության մարտական գործողությունների ժամանակ ձեռք բերած հիվանդությունը կամ ստացած վնասվածքը.</w:t>
      </w:r>
    </w:p>
    <w:p>
      <w:pPr>
        <w:jc w:val="both"/>
      </w:pPr>
      <w:r>
        <w:rPr/>
        <w:t xml:space="preserve">թ․Հայրենական մեծ պատերազմի և այլ պետություններում մարտական գործողությունների (խաղաղապահ առաքելությունների, զորավարժությունների) ժամանակ ձեռք բերած հիվանդությունը կամ ստացած վնասվածքը.</w:t>
      </w:r>
    </w:p>
    <w:p>
      <w:pPr>
        <w:jc w:val="both"/>
      </w:pPr>
      <w:r>
        <w:rPr/>
        <w:t xml:space="preserve">ժ․ պահեստազորի վարժական հավաքներին մասնակցելու ժամանակ ձեռք բերած հիվանդությունը կամ ստացած վնասվածքը.</w:t>
      </w:r>
    </w:p>
    <w:p>
      <w:pPr/>
      <w:r>
        <w:rPr/>
        <w:t xml:space="preserve">ի․ հակառակորդի հետ շփման գծում մարտական հերթապահության կամ հատուկ առաջադրանք կատարելու ժամանակ կամ հակառակորդի նախահարձակ գործողության հետևանքով ձեռք բերած հիվանդությունը կամ ստացած վնասվածքը.</w:t>
      </w:r>
    </w:p>
    <w:p>
      <w:pPr/>
      <w:r>
        <w:rPr/>
        <w:t xml:space="preserve">լ․ Չեռնոբիլի ատոմային էլեկտրակայանի վթարի և այլ ճառագայթային աղետների հետևանքների վերացման աշխատանքների ժամանակ ձեռք բերած հիվանդությունը կամ ստացած վնասվածքը.</w:t>
      </w:r>
    </w:p>
    <w:p>
      <w:pPr/>
      <w:r>
        <w:rPr/>
        <w:t xml:space="preserve">խ․ օրենսդրությամբ նախատեսված այլ դեպքեր:</w:t>
      </w:r>
    </w:p>
    <w:p>
      <w:pPr>
        <w:numPr>
          <w:ilvl w:val="0"/>
          <w:numId w:val="3"/>
        </w:numPr>
      </w:pPr>
      <w:r>
        <w:rPr/>
        <w:t xml:space="preserve">Միասնական սոցիալական ծառայության իրավասու ստորաբաժանումն անձին հաշմանդամ է ճանաչում սույն հոդվածին, ինչպես նաև Հայաստանի Հանրապետության կառավարության կողմից հաստատված բ</w:t>
      </w:r>
      <w:r>
        <w:rPr>
          <w:b w:val="1"/>
          <w:bCs w:val="1"/>
        </w:rPr>
        <w:t xml:space="preserve">ժշկասոցիալական</w:t>
      </w:r>
      <w:r>
        <w:rPr/>
        <w:t xml:space="preserve"> </w:t>
      </w:r>
      <w:r>
        <w:rPr>
          <w:b w:val="1"/>
          <w:bCs w:val="1"/>
        </w:rPr>
        <w:t xml:space="preserve">փորձաքննության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կարգին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բժշկասոցիալական</w:t>
      </w:r>
      <w:r>
        <w:rPr/>
        <w:t xml:space="preserve"> </w:t>
      </w:r>
      <w:r>
        <w:rPr>
          <w:b w:val="1"/>
          <w:bCs w:val="1"/>
        </w:rPr>
        <w:t xml:space="preserve">փորձաքննության</w:t>
      </w:r>
      <w:r>
        <w:rPr/>
        <w:t xml:space="preserve"> </w:t>
      </w:r>
      <w:r>
        <w:rPr>
          <w:b w:val="1"/>
          <w:bCs w:val="1"/>
        </w:rPr>
        <w:t xml:space="preserve">չափորոշիչներին</w:t>
      </w:r>
      <w:r>
        <w:rPr/>
        <w:t xml:space="preserve"> համապատասխան:</w:t>
      </w:r>
    </w:p>
    <w:p>
      <w:pPr/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հրապարակմանը հաջորդող օրվանից և դրա գործողությունը տարածվում է 2021 թվականի սեպտեմբերի 1-ից ծագած հարաբերությունների վրա:</w:t>
      </w:r>
    </w:p>
    <w:p>
      <w:pPr/>
      <w:r>
        <w:rPr>
          <w:b w:val="1"/>
          <w:bCs w:val="1"/>
          <w:u w:val="single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52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E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2026-04-03T13:45:43+04:00</dcterms:created>
  <dcterms:modified xsi:type="dcterms:W3CDTF">2026-04-03T13:45:43+04:00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