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«Ռադիոակտիվ հումքի երկրաբանական ուսումնասիրության նպատակով ընդերքօգտագործման իրավունքի տրամադրման համար կայանալիք մրցույթի մասնակցության հայտերին, մրցույթի մասնակիցների որակավորմանը, ֆինանսական և տեխնիկական կարողություններին ներկայացվող չափորոշիչները, ինչպես նաև մրցութային փաթեթների պատրաստման կարգը սահմանելու մասին» ՀՀ կառավարության որոշման նախագիծ</w:t>
      </w:r>
      <w:bookmarkEnd w:id="0"/>
    </w:p>
    <w:p>
      <w:pPr>
        <w:jc w:val="center"/>
      </w:pPr>
      <w:r>
        <w:rPr/>
        <w:t xml:space="preserve">ՆԱԽԱԳԻԾ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  <w:r>
        <w:rPr/>
        <w:t xml:space="preserve"> </w:t>
      </w:r>
      <w:r>
        <w:rPr>
          <w:b w:val="1"/>
          <w:bCs w:val="1"/>
        </w:rPr>
        <w:t xml:space="preserve">Ը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/>
        <w:t xml:space="preserve">---------- 2017 թվականի N ------Ն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ՌԱԴԻՈԱԿՏԻՎ</w:t>
      </w:r>
      <w:r>
        <w:rPr/>
        <w:t xml:space="preserve"> </w:t>
      </w:r>
      <w:r>
        <w:rPr>
          <w:b w:val="1"/>
          <w:bCs w:val="1"/>
        </w:rPr>
        <w:t xml:space="preserve">ՀՈՒՄՔԻ</w:t>
      </w:r>
      <w:r>
        <w:rPr/>
        <w:t xml:space="preserve"> </w:t>
      </w:r>
      <w:r>
        <w:rPr>
          <w:b w:val="1"/>
          <w:bCs w:val="1"/>
        </w:rPr>
        <w:t xml:space="preserve">ԵՐԿՐԱԲԱՆԱԿԱՆ</w:t>
      </w:r>
      <w:r>
        <w:rPr/>
        <w:t xml:space="preserve"> </w:t>
      </w:r>
      <w:r>
        <w:rPr>
          <w:b w:val="1"/>
          <w:bCs w:val="1"/>
        </w:rPr>
        <w:t xml:space="preserve">ՈՒՍՈՒՄՆԱՍԻՐՈՒԹ</w:t>
      </w:r>
      <w:r>
        <w:rPr>
          <w:b w:val="1"/>
          <w:bCs w:val="1"/>
        </w:rPr>
        <w:t xml:space="preserve">­</w:t>
      </w:r>
      <w:r>
        <w:rPr>
          <w:b w:val="1"/>
          <w:bCs w:val="1"/>
        </w:rPr>
        <w:t xml:space="preserve">ՅԱՆ</w:t>
      </w:r>
      <w:r>
        <w:rPr/>
        <w:t xml:space="preserve"> </w:t>
      </w:r>
      <w:r>
        <w:rPr>
          <w:b w:val="1"/>
          <w:bCs w:val="1"/>
        </w:rPr>
        <w:t xml:space="preserve">ՆՊԱՏԱԿՈՎ</w:t>
      </w:r>
      <w:r>
        <w:rPr/>
        <w:t xml:space="preserve"> </w:t>
      </w:r>
      <w:r>
        <w:rPr>
          <w:b w:val="1"/>
          <w:bCs w:val="1"/>
        </w:rPr>
        <w:t xml:space="preserve">Ը</w:t>
      </w:r>
      <w:r>
        <w:rPr>
          <w:b w:val="1"/>
          <w:bCs w:val="1"/>
        </w:rPr>
        <w:t xml:space="preserve">ՆԴԵՐՔՕԳՏԱԳՈՐԾՄԱՆ</w:t>
      </w:r>
      <w:r>
        <w:rPr/>
        <w:t xml:space="preserve"> </w:t>
      </w:r>
      <w:r>
        <w:rPr>
          <w:b w:val="1"/>
          <w:bCs w:val="1"/>
        </w:rPr>
        <w:t xml:space="preserve">ԻՐԱՎՈՒՆՔԻ</w:t>
      </w:r>
      <w:r>
        <w:rPr/>
        <w:t xml:space="preserve"> </w:t>
      </w:r>
      <w:r>
        <w:rPr>
          <w:b w:val="1"/>
          <w:bCs w:val="1"/>
        </w:rPr>
        <w:t xml:space="preserve">ՏՐԱ</w:t>
      </w:r>
      <w:r>
        <w:rPr>
          <w:b w:val="1"/>
          <w:bCs w:val="1"/>
        </w:rPr>
        <w:t xml:space="preserve">­</w:t>
      </w:r>
      <w:r>
        <w:rPr>
          <w:b w:val="1"/>
          <w:bCs w:val="1"/>
        </w:rPr>
        <w:t xml:space="preserve">ՄԱԴՐՄԱ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ՀԱՄԱՐ</w:t>
      </w:r>
      <w:r>
        <w:rPr/>
        <w:t xml:space="preserve"> </w:t>
      </w:r>
      <w:r>
        <w:rPr>
          <w:b w:val="1"/>
          <w:bCs w:val="1"/>
        </w:rPr>
        <w:t xml:space="preserve">ԿԱՅԱՆԱԼԻՔ</w:t>
      </w:r>
      <w:r>
        <w:rPr/>
        <w:t xml:space="preserve"> </w:t>
      </w:r>
      <w:r>
        <w:rPr>
          <w:b w:val="1"/>
          <w:bCs w:val="1"/>
        </w:rPr>
        <w:t xml:space="preserve">ՄՐՑՈՒՅԹԻ</w:t>
      </w:r>
      <w:r>
        <w:rPr/>
        <w:t xml:space="preserve"> </w:t>
      </w:r>
      <w:r>
        <w:rPr>
          <w:b w:val="1"/>
          <w:bCs w:val="1"/>
        </w:rPr>
        <w:t xml:space="preserve">ՄԱՍՆԱԿՑՈՒԹՅԱՆ</w:t>
      </w:r>
      <w:r>
        <w:rPr/>
        <w:t xml:space="preserve"> </w:t>
      </w:r>
      <w:r>
        <w:rPr>
          <w:b w:val="1"/>
          <w:bCs w:val="1"/>
        </w:rPr>
        <w:t xml:space="preserve">ՀԱՅՏԵՐԻՆ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ՄՐՑՈՒՅԹԻ</w:t>
      </w:r>
      <w:r>
        <w:rPr/>
        <w:t xml:space="preserve"> </w:t>
      </w:r>
      <w:r>
        <w:rPr>
          <w:b w:val="1"/>
          <w:bCs w:val="1"/>
        </w:rPr>
        <w:t xml:space="preserve">ՄԱՍՆԱԿԻՑՆԵՐԻ</w:t>
      </w:r>
      <w:r>
        <w:rPr/>
        <w:t xml:space="preserve"> </w:t>
      </w:r>
      <w:r>
        <w:rPr>
          <w:b w:val="1"/>
          <w:bCs w:val="1"/>
        </w:rPr>
        <w:t xml:space="preserve">ՈՐԱԿԱՎՈՐՄԱՆԸ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ՖԻՆԱՆՍԱԿԱՆ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ՏԵԽՆԻԿԱԿԱՆ</w:t>
      </w:r>
      <w:r>
        <w:rPr/>
        <w:t xml:space="preserve"> </w:t>
      </w:r>
      <w:r>
        <w:rPr>
          <w:b w:val="1"/>
          <w:bCs w:val="1"/>
        </w:rPr>
        <w:t xml:space="preserve">ԿԱՐՈՂՈՒԹՅՈՒՆՆԵՐԻՆ</w:t>
      </w:r>
      <w:r>
        <w:rPr/>
        <w:t xml:space="preserve"> </w:t>
      </w:r>
      <w:r>
        <w:rPr>
          <w:b w:val="1"/>
          <w:bCs w:val="1"/>
        </w:rPr>
        <w:t xml:space="preserve">ՆԵՐԿԱՅԱՑՎՈՂ</w:t>
      </w:r>
      <w:r>
        <w:rPr/>
        <w:t xml:space="preserve"> </w:t>
      </w:r>
      <w:r>
        <w:rPr>
          <w:b w:val="1"/>
          <w:bCs w:val="1"/>
        </w:rPr>
        <w:t xml:space="preserve">ՉԱՓՈՐՈ</w:t>
      </w:r>
      <w:r>
        <w:rPr>
          <w:b w:val="1"/>
          <w:bCs w:val="1"/>
        </w:rPr>
        <w:t xml:space="preserve">­</w:t>
      </w:r>
      <w:r>
        <w:rPr>
          <w:b w:val="1"/>
          <w:bCs w:val="1"/>
        </w:rPr>
        <w:t xml:space="preserve">ՇԻՉՆԵՐԸ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ԻՆՉՊԵՍ</w:t>
      </w:r>
      <w:r>
        <w:rPr/>
        <w:t xml:space="preserve"> </w:t>
      </w:r>
      <w:r>
        <w:rPr>
          <w:b w:val="1"/>
          <w:bCs w:val="1"/>
        </w:rPr>
        <w:t xml:space="preserve">ՆԱ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ՄՐՑՈՒԹԱՅԻՆ</w:t>
      </w:r>
      <w:r>
        <w:rPr/>
        <w:t xml:space="preserve"> </w:t>
      </w:r>
      <w:r>
        <w:rPr>
          <w:b w:val="1"/>
          <w:bCs w:val="1"/>
        </w:rPr>
        <w:t xml:space="preserve">ՓԱԹԵԹՆԵՐԻ</w:t>
      </w:r>
      <w:r>
        <w:rPr/>
        <w:t xml:space="preserve"> </w:t>
      </w:r>
      <w:r>
        <w:rPr>
          <w:b w:val="1"/>
          <w:bCs w:val="1"/>
        </w:rPr>
        <w:t xml:space="preserve">ՊԱՏՐԱՍՏ</w:t>
      </w:r>
      <w:r>
        <w:rPr>
          <w:b w:val="1"/>
          <w:bCs w:val="1"/>
        </w:rPr>
        <w:t xml:space="preserve">­</w:t>
      </w:r>
      <w:r>
        <w:rPr>
          <w:b w:val="1"/>
          <w:bCs w:val="1"/>
        </w:rPr>
        <w:t xml:space="preserve">ՄԱՆ</w:t>
      </w:r>
      <w:r>
        <w:rPr/>
        <w:t xml:space="preserve"> </w:t>
      </w:r>
      <w:r>
        <w:rPr>
          <w:b w:val="1"/>
          <w:bCs w:val="1"/>
        </w:rPr>
        <w:t xml:space="preserve">ԿԱՐԳԸ</w:t>
      </w:r>
      <w:r>
        <w:rPr/>
        <w:t xml:space="preserve"> </w:t>
      </w:r>
      <w:r>
        <w:rPr>
          <w:b w:val="1"/>
          <w:bCs w:val="1"/>
        </w:rPr>
        <w:t xml:space="preserve">ՍԱՀՄԱՆԵԼՈՒ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Ղեկավարվելով Հայաստանի Հանրապետության ընդերքի մասին օրենսգրքի 20.1-ին հոդվածի 2-րդ մասով` Հայաստանի Հանրապետության կառավարությունը 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Սահմանել ռադիոակտիվ հումքի երկրաբանական ուսումնասիրութ­յան նպատակով ընդերքօգտագործման իրավունքի տրա­մադրման համար կայանալիք մրցույթի մասնակցության հայտերին, մրցույթի մասնակիցների որակավորմանը, ֆինանսական և տեխնիկական կարողություններին ներկայացվող չափորո­շիչները, ինչպես նաև մրցութային փաթեթների պատրաստ­ման կարգը՝ համաձայն Հավելվածի: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Հավելված</w:t>
      </w:r>
      <w:br/>
      <w:r>
        <w:rPr/>
        <w:t xml:space="preserve"> ՀՀ կառավարության 2017 թվականի</w:t>
      </w:r>
      <w:br/>
      <w:r>
        <w:rPr/>
        <w:t xml:space="preserve"> ------------- N ------Ն որոշման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ԿԱՐԳ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ՌԱԴԻՈԱԿՏԻՎ</w:t>
      </w:r>
      <w:r>
        <w:rPr/>
        <w:t xml:space="preserve"> </w:t>
      </w:r>
      <w:r>
        <w:rPr>
          <w:b w:val="1"/>
          <w:bCs w:val="1"/>
        </w:rPr>
        <w:t xml:space="preserve">ՀՈՒՄՔԻ</w:t>
      </w:r>
      <w:r>
        <w:rPr/>
        <w:t xml:space="preserve"> </w:t>
      </w:r>
      <w:r>
        <w:rPr>
          <w:b w:val="1"/>
          <w:bCs w:val="1"/>
        </w:rPr>
        <w:t xml:space="preserve">ԵՐԿՐԱԲԱՆԱԿԱՆ</w:t>
      </w:r>
      <w:r>
        <w:rPr/>
        <w:t xml:space="preserve"> </w:t>
      </w:r>
      <w:r>
        <w:rPr>
          <w:b w:val="1"/>
          <w:bCs w:val="1"/>
        </w:rPr>
        <w:t xml:space="preserve">ՈՒՍՈՒՄՆԱՍԻՐՈՒԹ</w:t>
      </w:r>
      <w:r>
        <w:rPr>
          <w:b w:val="1"/>
          <w:bCs w:val="1"/>
        </w:rPr>
        <w:t xml:space="preserve">­</w:t>
      </w:r>
      <w:r>
        <w:rPr>
          <w:b w:val="1"/>
          <w:bCs w:val="1"/>
        </w:rPr>
        <w:t xml:space="preserve">ՅԱՆ</w:t>
      </w:r>
      <w:r>
        <w:rPr/>
        <w:t xml:space="preserve"> </w:t>
      </w:r>
      <w:r>
        <w:rPr>
          <w:b w:val="1"/>
          <w:bCs w:val="1"/>
        </w:rPr>
        <w:t xml:space="preserve">ՆՊԱՏԱԿՈՎ</w:t>
      </w:r>
      <w:r>
        <w:rPr/>
        <w:t xml:space="preserve"> </w:t>
      </w:r>
      <w:r>
        <w:rPr>
          <w:b w:val="1"/>
          <w:bCs w:val="1"/>
        </w:rPr>
        <w:t xml:space="preserve">Ը</w:t>
      </w:r>
      <w:r>
        <w:rPr>
          <w:b w:val="1"/>
          <w:bCs w:val="1"/>
        </w:rPr>
        <w:t xml:space="preserve">ՆԴԵՐՔՕԳՏԱԳՈՐԾՄԱՆ</w:t>
      </w:r>
      <w:r>
        <w:rPr/>
        <w:t xml:space="preserve"> </w:t>
      </w:r>
      <w:r>
        <w:rPr>
          <w:b w:val="1"/>
          <w:bCs w:val="1"/>
        </w:rPr>
        <w:t xml:space="preserve">ԻՐԱՎՈՒՆՔԻ</w:t>
      </w:r>
      <w:r>
        <w:rPr/>
        <w:t xml:space="preserve"> </w:t>
      </w:r>
      <w:r>
        <w:rPr>
          <w:b w:val="1"/>
          <w:bCs w:val="1"/>
        </w:rPr>
        <w:t xml:space="preserve">ՏՐԱ</w:t>
      </w:r>
      <w:r>
        <w:rPr>
          <w:b w:val="1"/>
          <w:bCs w:val="1"/>
        </w:rPr>
        <w:t xml:space="preserve">­</w:t>
      </w:r>
      <w:r>
        <w:rPr>
          <w:b w:val="1"/>
          <w:bCs w:val="1"/>
        </w:rPr>
        <w:t xml:space="preserve">ՄԱԴՐՄԱ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ՀԱՄԱՐ</w:t>
      </w:r>
      <w:r>
        <w:rPr/>
        <w:t xml:space="preserve"> </w:t>
      </w:r>
      <w:r>
        <w:rPr>
          <w:b w:val="1"/>
          <w:bCs w:val="1"/>
        </w:rPr>
        <w:t xml:space="preserve">ԿԱՅԱՆԱԼԻՔ</w:t>
      </w:r>
      <w:r>
        <w:rPr/>
        <w:t xml:space="preserve"> </w:t>
      </w:r>
      <w:r>
        <w:rPr>
          <w:b w:val="1"/>
          <w:bCs w:val="1"/>
        </w:rPr>
        <w:t xml:space="preserve">ՄՐՑՈՒՅԹԻ</w:t>
      </w:r>
      <w:r>
        <w:rPr/>
        <w:t xml:space="preserve"> </w:t>
      </w:r>
      <w:r>
        <w:rPr>
          <w:b w:val="1"/>
          <w:bCs w:val="1"/>
        </w:rPr>
        <w:t xml:space="preserve">ՄԱՍՆԱԿՑՈՒԹՅԱՆ</w:t>
      </w:r>
      <w:r>
        <w:rPr/>
        <w:t xml:space="preserve"> </w:t>
      </w:r>
      <w:r>
        <w:rPr>
          <w:b w:val="1"/>
          <w:bCs w:val="1"/>
        </w:rPr>
        <w:t xml:space="preserve">ՀԱՅՏԵՐԻՆ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ՄՐՑՈՒՅԹԻ</w:t>
      </w:r>
      <w:r>
        <w:rPr/>
        <w:t xml:space="preserve"> </w:t>
      </w:r>
      <w:r>
        <w:rPr>
          <w:b w:val="1"/>
          <w:bCs w:val="1"/>
        </w:rPr>
        <w:t xml:space="preserve">ՄԱՍՆԱԿԻՑՆԵՐԻ</w:t>
      </w:r>
      <w:r>
        <w:rPr/>
        <w:t xml:space="preserve"> </w:t>
      </w:r>
      <w:r>
        <w:rPr>
          <w:b w:val="1"/>
          <w:bCs w:val="1"/>
        </w:rPr>
        <w:t xml:space="preserve">ՈՐԱԿԱՎՈՐՄԱՆԸ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ՖԻՆԱՆՍԱԿԱՆ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ՏԵԽՆԻԿԱԿԱՆ</w:t>
      </w:r>
      <w:r>
        <w:rPr/>
        <w:t xml:space="preserve"> </w:t>
      </w:r>
      <w:r>
        <w:rPr>
          <w:b w:val="1"/>
          <w:bCs w:val="1"/>
        </w:rPr>
        <w:t xml:space="preserve">ԿԱՐՈՂՈՒԹՅՈՒՆՆԵՐԻՆ</w:t>
      </w:r>
      <w:r>
        <w:rPr/>
        <w:t xml:space="preserve"> </w:t>
      </w:r>
      <w:r>
        <w:rPr>
          <w:b w:val="1"/>
          <w:bCs w:val="1"/>
        </w:rPr>
        <w:t xml:space="preserve">ՆԵՐԿԱՅԱՑՎՈՂ</w:t>
      </w:r>
      <w:r>
        <w:rPr/>
        <w:t xml:space="preserve"> </w:t>
      </w:r>
      <w:r>
        <w:rPr>
          <w:b w:val="1"/>
          <w:bCs w:val="1"/>
        </w:rPr>
        <w:t xml:space="preserve">ՉԱՓՈՐՈ</w:t>
      </w:r>
      <w:r>
        <w:rPr>
          <w:b w:val="1"/>
          <w:bCs w:val="1"/>
        </w:rPr>
        <w:t xml:space="preserve">­</w:t>
      </w:r>
      <w:r>
        <w:rPr>
          <w:b w:val="1"/>
          <w:bCs w:val="1"/>
        </w:rPr>
        <w:t xml:space="preserve">ՇԻՉՆԵՐ</w:t>
      </w:r>
      <w:r>
        <w:rPr>
          <w:b w:val="1"/>
          <w:bCs w:val="1"/>
        </w:rPr>
        <w:t xml:space="preserve">Ի ՍԱՀՄԱՆՄԱՆ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ԻՆՉՊԵՍ</w:t>
      </w:r>
      <w:r>
        <w:rPr/>
        <w:t xml:space="preserve"> </w:t>
      </w:r>
      <w:r>
        <w:rPr>
          <w:b w:val="1"/>
          <w:bCs w:val="1"/>
        </w:rPr>
        <w:t xml:space="preserve">ՆԱԵՎ</w:t>
      </w:r>
      <w:r>
        <w:rPr/>
        <w:t xml:space="preserve"> </w:t>
      </w:r>
      <w:r>
        <w:rPr>
          <w:b w:val="1"/>
          <w:bCs w:val="1"/>
        </w:rPr>
        <w:t xml:space="preserve">ՄՐՑՈՒԹԱՅԻՆ</w:t>
      </w:r>
      <w:r>
        <w:rPr/>
        <w:t xml:space="preserve"> </w:t>
      </w:r>
      <w:r>
        <w:rPr>
          <w:b w:val="1"/>
          <w:bCs w:val="1"/>
        </w:rPr>
        <w:t xml:space="preserve">ՓԱԹԵԹՆԵՐԻ</w:t>
      </w:r>
      <w:r>
        <w:rPr/>
        <w:t xml:space="preserve"> </w:t>
      </w:r>
      <w:r>
        <w:rPr>
          <w:b w:val="1"/>
          <w:bCs w:val="1"/>
        </w:rPr>
        <w:t xml:space="preserve">ՊԱՏՐԱՍՏ</w:t>
      </w:r>
      <w:r>
        <w:rPr>
          <w:b w:val="1"/>
          <w:bCs w:val="1"/>
        </w:rPr>
        <w:t xml:space="preserve">­</w:t>
      </w:r>
      <w:r>
        <w:rPr>
          <w:b w:val="1"/>
          <w:bCs w:val="1"/>
        </w:rPr>
        <w:t xml:space="preserve">ՄԱՆ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3"/>
        </w:numPr>
      </w:pPr>
      <w:r>
        <w:rPr/>
        <w:t xml:space="preserve">Սույնկարգով սահմանվում են ռադիոակտիվ հումքի երկրաբանական ուսումնասիրութ­յան նպատակով ընդերքօգտագործման իրավունքի տրա­մադրման համար կայանալիք մրցույթի մասնակցության հայտերին, մրցույթի մասնակիցների որակավորմանը, ֆինանսական և տեխնիկական կարողություններին ներկայացվող չափորո­շիչները, ինչպես նաև մրցութային փաթեթների պատրաստ­ման ընթացակարգը:</w:t>
      </w:r>
    </w:p>
    <w:p>
      <w:pPr>
        <w:numPr>
          <w:ilvl w:val="0"/>
          <w:numId w:val="3"/>
        </w:numPr>
      </w:pPr>
      <w:r>
        <w:rPr/>
        <w:t xml:space="preserve">Մրցույթի հայտեր ներգրավելու նպատակով Հայաստանի Հանրապետության էներգետիկ ենթակառուցվածքների և բնական պաշարների նախարարությունը (այսուհետ՝ նախարարություն) մրցույթի  մասին ծանուցումը հրապարակում է զանգվածային լրատվության միջոցով, ինչպես նաև նախարարության minenergy.am  պաշտոնական կայքում ու www.azdarar.am հասցեում գտնվող Հայաստանի Հանրապետության հրապարակային ծանուցումների պաշտոնական ինտերնետային կայքում մրցույթն սկսվելուց առնվազն 45 օր առաջ:</w:t>
      </w:r>
    </w:p>
    <w:p>
      <w:pPr>
        <w:numPr>
          <w:ilvl w:val="0"/>
          <w:numId w:val="3"/>
        </w:numPr>
      </w:pPr>
      <w:r>
        <w:rPr/>
        <w:t xml:space="preserve">Մրցույթի մասնակից է համարվում այն անձը, որը մրցույթի անցկացման մասին հրապարակային ծանուցման մեջ նշված ժամկետում` սահմանված կարգով նախարարություն է ներկայացրել հայտ:</w:t>
      </w:r>
    </w:p>
    <w:p>
      <w:pPr>
        <w:numPr>
          <w:ilvl w:val="0"/>
          <w:numId w:val="3"/>
        </w:numPr>
      </w:pPr>
      <w:r>
        <w:rPr/>
        <w:t xml:space="preserve">Հայտը մասնակցի կողմից ներկայացվում է էլեկտրոնային կամ թղթային տարբերակով:</w:t>
      </w:r>
    </w:p>
    <w:p>
      <w:pPr>
        <w:numPr>
          <w:ilvl w:val="0"/>
          <w:numId w:val="3"/>
        </w:numPr>
      </w:pPr>
      <w:r>
        <w:rPr/>
        <w:t xml:space="preserve">Հայտերը գրանցվում են առանձին գրանցամատյանում` ըստ ստացման հերթականության` ծրարի վրա նշելով գրանցման համարը, տարեթիվը, ամիսը, ամսաթիվը և ժամը:</w:t>
      </w:r>
    </w:p>
    <w:p>
      <w:pPr>
        <w:numPr>
          <w:ilvl w:val="0"/>
          <w:numId w:val="3"/>
        </w:numPr>
      </w:pPr>
      <w:r>
        <w:rPr/>
        <w:t xml:space="preserve">Հայտին կից մրցույթի մասին հայտարարության ցանկով նախատեսված փաստաթղթերը (թղթային կամ էլեկտրոնային կրիչով) ներկայացնում են փակ ծրարով` մրցույթի մասին հայտարարությամբ սահմանված ժամկետում՝ առձեռն կամ պատվիրված նամակով.</w:t>
      </w:r>
    </w:p>
    <w:p>
      <w:pPr/>
      <w:r>
        <w:rPr/>
        <w:t xml:space="preserve"> </w:t>
      </w:r>
    </w:p>
    <w:p>
      <w:pPr/>
      <w:r>
        <w:rPr/>
        <w:t xml:space="preserve">          1)ծրարում ներառված փաստաթղթերը պետք է նշագրված լինեն և կազմված՝ բնօրինակից և մրցույթի մասին հրապարակային ծանուցման մեջ նշված թվով կրկնօրինակներից: Փաստաթղթերի վրա համապատասխանաբար գրվում են «բնօրինակ» և «կրկնօրինակ» բառերը,</w:t>
      </w:r>
    </w:p>
    <w:p>
      <w:pPr/>
      <w:r>
        <w:rPr/>
        <w:t xml:space="preserve">          2)ծրարի վրա կարող են կատարվել հետևյալ գրառումները.</w:t>
      </w:r>
    </w:p>
    <w:p>
      <w:pPr/>
      <w:r>
        <w:rPr/>
        <w:t xml:space="preserve">ա. մրցույթի մասին հրապարակային ծանուցման մեջ նշված մրցույթի հայտի ներկայացման վայրը (հասցեն).</w:t>
      </w:r>
    </w:p>
    <w:p>
      <w:pPr/>
      <w:r>
        <w:rPr/>
        <w:t xml:space="preserve">բ. «չբացել մինչև մրցույթի հայտերի բացման նիստը» բառերը:</w:t>
      </w:r>
    </w:p>
    <w:p>
      <w:pPr>
        <w:numPr>
          <w:ilvl w:val="0"/>
          <w:numId w:val="4"/>
        </w:numPr>
      </w:pPr>
      <w:r>
        <w:rPr/>
        <w:t xml:space="preserve">Լիազոր մարմինը հայտը ընդունելուց հետո անմիջապես մրցույթի մասնակցին առձեռն տալիս է կամ վերջինիս փոստային կամ էլետրոնային հասցեին ուղարկվում է տեղեկանք` մրցույթի հայտն ընդունելու մասին:</w:t>
      </w:r>
    </w:p>
    <w:p>
      <w:pPr>
        <w:numPr>
          <w:ilvl w:val="0"/>
          <w:numId w:val="4"/>
        </w:numPr>
      </w:pPr>
      <w:r>
        <w:rPr/>
        <w:t xml:space="preserve">Սույն կարգի պահանջներին չհամապատասխանող մրցույթի հայտերը, ինչպես նաև մրցույթի հայտեր ներկայացնելու ժամկետը լրանալուց հետո տրված մրցույթի հայտերին կից ծրարը առանց բացվելու մերժվում է և վերադարձվում է ներկայացնողին:</w:t>
      </w:r>
    </w:p>
    <w:p>
      <w:pPr>
        <w:numPr>
          <w:ilvl w:val="0"/>
          <w:numId w:val="4"/>
        </w:numPr>
      </w:pPr>
      <w:r>
        <w:rPr/>
        <w:t xml:space="preserve">Մրցույթի մասնակիցը մինչև մրցույթի հայտերը ներկայացնելու վերջնական ժամկետի ավարտը, կարող է փոփոխել կամ հետ վերցնել հայտը: Մրցույթի հայտի փոփոխությունը կատարվում է մրցույթի հայտ ներկայացնելու համար նախատեսված կարգով` ծրարի վրա ավելացնելով «փոփոխում» բառը:</w:t>
      </w:r>
    </w:p>
    <w:p>
      <w:pPr>
        <w:numPr>
          <w:ilvl w:val="0"/>
          <w:numId w:val="4"/>
        </w:numPr>
      </w:pPr>
      <w:r>
        <w:rPr/>
        <w:t xml:space="preserve">Հայտերի բացման նիստի օրը նշանակվում է հայտերի ընդունման վերջին օրը` եթե այլ ժամկետ չի սահմանված մրցույթ անցկացնելու հայտարարությամբ:</w:t>
      </w:r>
    </w:p>
    <w:p>
      <w:pPr>
        <w:numPr>
          <w:ilvl w:val="0"/>
          <w:numId w:val="4"/>
        </w:numPr>
      </w:pPr>
      <w:r>
        <w:rPr/>
        <w:t xml:space="preserve">Հայտերը քննարկվում են` ըստ դրանց գրանցման հերթականության: Մրցույթի մասնակիցները և նրանց ներկայացուցիչները կարող են ներկա գտնվել հայտերի բացման, ինչպես նաև հայտերի ամփոփման նիստերին:</w:t>
      </w:r>
    </w:p>
    <w:p>
      <w:pPr>
        <w:numPr>
          <w:ilvl w:val="0"/>
          <w:numId w:val="4"/>
        </w:numPr>
      </w:pPr>
      <w:r>
        <w:rPr/>
        <w:t xml:space="preserve">Մրցույթին կարող են մասնակցել միայն Հայաստանի Հանրապետությանկառավարության 2013 թվականի ապրիլի 25-ի N 439-Ն որոշման համաձայն հատուկ թույլտվություն ստացած իրավաբանական անձինք:</w:t>
      </w:r>
    </w:p>
    <w:p>
      <w:pPr>
        <w:numPr>
          <w:ilvl w:val="0"/>
          <w:numId w:val="4"/>
        </w:numPr>
      </w:pPr>
      <w:r>
        <w:rPr/>
        <w:t xml:space="preserve">Մինչ մրցույթի կայացման մասին հայտարարություն տալը նախարարությունը պատրաստում է մրցութային փաթեթը, որն իր մեջ ներառում է.</w:t>
      </w:r>
    </w:p>
    <w:p>
      <w:pPr/>
      <w:r>
        <w:rPr/>
        <w:t xml:space="preserve">1)հայտարաության տեքստը, որտեղ նշվում է.</w:t>
      </w:r>
    </w:p>
    <w:p>
      <w:pPr/>
      <w:r>
        <w:rPr/>
        <w:t xml:space="preserve">ա. մրցույթի առարկան.</w:t>
      </w:r>
    </w:p>
    <w:p>
      <w:pPr/>
      <w:r>
        <w:rPr/>
        <w:t xml:space="preserve">բ. մրցույթի անցկացման վայրը, օրն ու ժամը.</w:t>
      </w:r>
    </w:p>
    <w:p>
      <w:pPr/>
      <w:r>
        <w:rPr/>
        <w:t xml:space="preserve">գ. մրցույթի կազմակերպիչի ավնավումը.</w:t>
      </w:r>
    </w:p>
    <w:p>
      <w:pPr/>
      <w:r>
        <w:rPr/>
        <w:t xml:space="preserve">դ. փաստաթղթերի ընդունման վերջնաժամկետը.</w:t>
      </w:r>
    </w:p>
    <w:p>
      <w:pPr/>
      <w:r>
        <w:rPr/>
        <w:t xml:space="preserve">ե. մրցույթի մասնակցության համար հայտատուի կողմից ներկայացվող անհրաժեշտ փաստաթղթերի ցանկը.</w:t>
      </w:r>
    </w:p>
    <w:p>
      <w:pPr/>
      <w:r>
        <w:rPr/>
        <w:t xml:space="preserve">զ. մրցույթի կանոնակարգին ծանոթանալու վայրը և կանոնակարգի պատճենը տրամադրելու կարգը.</w:t>
      </w:r>
    </w:p>
    <w:p>
      <w:pPr/>
      <w:r>
        <w:rPr/>
        <w:t xml:space="preserve">է. հայտերի բացման նիստի օրը,</w:t>
      </w:r>
    </w:p>
    <w:p>
      <w:pPr/>
      <w:r>
        <w:rPr/>
        <w:t xml:space="preserve">2) ընդերքի տեղամասի երկրաբանական և աշխարհագրական նկարագրությունը,</w:t>
      </w:r>
    </w:p>
    <w:p>
      <w:pPr/>
      <w:r>
        <w:rPr/>
        <w:t xml:space="preserve">3) ընդերքի տեղամասի կոորդինատները,</w:t>
      </w:r>
    </w:p>
    <w:p>
      <w:pPr/>
      <w:r>
        <w:rPr/>
        <w:t xml:space="preserve">4) տեղեկություն նախկինում կատարված աշխատանքների մասին,</w:t>
      </w:r>
    </w:p>
    <w:p>
      <w:pPr/>
      <w:r>
        <w:rPr/>
        <w:t xml:space="preserve">5) տեղեկություն ընդերքօգտագործման համար անհրաժեշտ հողատարածքների սեփականատերերի և կնքված հողօգտագործման նախնական պայմանագրերի վերաբերյալ,</w:t>
      </w:r>
    </w:p>
    <w:p>
      <w:pPr>
        <w:numPr>
          <w:ilvl w:val="0"/>
          <w:numId w:val="5"/>
        </w:numPr>
      </w:pPr>
      <w:r>
        <w:rPr/>
        <w:t xml:space="preserve">Սույն կարգի 13-րդ կետի 1-ին ենթակետի «ե.» պարբերությամբ պահանջվող փաստաթղթերն են.</w:t>
      </w:r>
    </w:p>
    <w:p>
      <w:pPr/>
      <w:r>
        <w:rPr/>
        <w:t xml:space="preserve">1)  պետական գրանցման վկայականի պատճենը,</w:t>
      </w:r>
    </w:p>
    <w:p>
      <w:pPr/>
      <w:r>
        <w:rPr/>
        <w:t xml:space="preserve">2) ընդերքօգտագործման առաջարկվող ծրագիրը,</w:t>
      </w:r>
    </w:p>
    <w:p>
      <w:pPr/>
      <w:r>
        <w:rPr/>
        <w:t xml:space="preserve">3) տեղեկություն նորագույն մեթոդների և տեխնոլոգիաների կիրառման, միջազգային փորձի, նախատեսվող ներդրումների ծավալի, իրականացվելիք աշխատանքների ժամկետների, ստեղծվելիք աշխատատեղերի քանակի վերաբերյալ,</w:t>
      </w:r>
    </w:p>
    <w:p>
      <w:pPr/>
      <w:r>
        <w:rPr/>
        <w:t xml:space="preserve">4) տեղեկություն  աշխատանքների կատարման ընթացքում շրջակա միջավայրի պահպանության, բնակչության առողջության անվտանգության և տեխնիկական անվտանգության ապահովման ուղղությամբ ձեռնարկվելիք միջոցառումների վերաբերյալ.</w:t>
      </w:r>
    </w:p>
    <w:p>
      <w:pPr/>
      <w:r>
        <w:rPr/>
        <w:t xml:space="preserve">5) տեղեկություն ֆինանսական և տեխնիկական կարողությունների մասին Հայաստանի Հանրապետության կառավարության 2013 թվականի մարտի 28-ի N 367-Ն որոշման պահանջներին համապատասխան:</w:t>
      </w:r>
    </w:p>
    <w:p>
      <w:pPr>
        <w:numPr>
          <w:ilvl w:val="0"/>
          <w:numId w:val="6"/>
        </w:numPr>
      </w:pPr>
      <w:r>
        <w:rPr/>
        <w:t xml:space="preserve">Մրցութային հանձնաժողովը հայտերի ուսումնասիրության օրվան հաջորդող 2 աշխատանքային օրվա ընթացքում մերժման մասին գրավոր տեղեկացնում է հայտը հանձնած կազմակերպությանը` նշելով մերժման հիմքերը:</w:t>
      </w:r>
    </w:p>
    <w:p>
      <w:pPr>
        <w:numPr>
          <w:ilvl w:val="0"/>
          <w:numId w:val="6"/>
        </w:numPr>
      </w:pPr>
      <w:r>
        <w:rPr/>
        <w:t xml:space="preserve">Մրցութային հանձնաժողովն անհրաժեշտության դեպքում կարող է հայտատուից պահանջել հայտին կից ներկայացված փաստաթղթերից ցանկացածի բնօրինակը:</w:t>
      </w:r>
    </w:p>
    <w:p>
      <w:pPr>
        <w:numPr>
          <w:ilvl w:val="0"/>
          <w:numId w:val="6"/>
        </w:numPr>
      </w:pPr>
      <w:r>
        <w:rPr/>
        <w:t xml:space="preserve">Հայտին կից ներկայացված փաստաթղթերում վրիպակների կամ բացթողումների հայտնաբերման դեպքում, մրցութային հանձնաժողովի որոշմամբ, մինչև տվյալ մրցույթի անցկացման օրը հայտատուին տրամադրվում է ժամանակ` նշված վրիպակները կամ թերությունները մինչև մրցույթի անցկացման օրը վերացնելու համար: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95875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6C204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0902657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57DEBA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FD06863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2026-03-31T12:50:47+04:00</dcterms:created>
  <dcterms:modified xsi:type="dcterms:W3CDTF">2026-03-31T12:50:47+04:00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