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2011 թվականի մայիսի 5-ի N 665-Ն որոշման մեջ փոփոխություններ և լրացումներ կատարելու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>
          <w:b w:val="1"/>
          <w:bCs w:val="1"/>
        </w:rPr>
        <w:t xml:space="preserve">___________________ 20</w:t>
      </w:r>
      <w:r>
        <w:rPr>
          <w:b w:val="1"/>
          <w:bCs w:val="1"/>
        </w:rPr>
        <w:t xml:space="preserve">21</w:t>
      </w:r>
      <w:r>
        <w:rPr/>
        <w:t xml:space="preserve">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N        –</w:t>
      </w:r>
      <w:r>
        <w:rPr>
          <w:b w:val="1"/>
          <w:bCs w:val="1"/>
        </w:rPr>
        <w:t xml:space="preserve">Ն</w:t>
      </w:r>
    </w:p>
    <w:p>
      <w:pPr>
        <w:jc w:val="center"/>
      </w:pPr>
      <w:r>
        <w:rPr>
          <w:b w:val="1"/>
          <w:bCs w:val="1"/>
        </w:rPr>
        <w:t xml:space="preserve">ՀԱՅԱ</w:t>
      </w:r>
      <w:r>
        <w:rPr>
          <w:b w:val="1"/>
          <w:bCs w:val="1"/>
        </w:rPr>
        <w:t xml:space="preserve">U</w:t>
      </w:r>
      <w:r>
        <w:rPr>
          <w:b w:val="1"/>
          <w:bCs w:val="1"/>
        </w:rPr>
        <w:t xml:space="preserve">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 2011 ԹՎԱԿԱՆԻ ՄԱՅԻՍԻ 5-Ի N 665-Ն ՈՐՈՇՄԱՆ ՄԵՋ ՓՈՓՈԽՈՒԹՅՈՒՆՆԵՐ ԵՎ ԼՐԱՑՈՒՄՆԵՐ ԿԱՏԱՐԵԼՈՒ ՄԱՍԻՆ</w:t>
      </w:r>
      <w:r>
        <w:rPr/>
        <w:t xml:space="preserve"> </w:t>
      </w:r>
    </w:p>
    <w:p>
      <w:pPr/>
      <w:r>
        <w:rPr/>
        <w:t xml:space="preserve">Համաձայն «Նորմատիվ իրավական ակտերի մասին» Հայաստանի Հանրապետության օրենքի 34-րդ հոդվածի և «Պետական կենսաթոշակների մասին» Հայաստանի Հանրապետության օրենքի 31‑րդ, 33‑րդ, 35-րդ, 36‑րդ, 39-րդ հոդվածների`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2011 թվականի մայիսի 5-ի «Պետական կենսաթոշակների մասին» Հայաստանի Հանրապետության օրենքի կիրարկումն ապահովելու մասին» N 665-Ն որոշման մեջ կատարել հետևյալ փոփոխությունները և լրացումները՝</w:t>
      </w:r>
    </w:p>
    <w:p>
      <w:pPr>
        <w:numPr>
          <w:ilvl w:val="0"/>
          <w:numId w:val="3"/>
        </w:numPr>
      </w:pPr>
      <w:r>
        <w:rPr/>
        <w:t xml:space="preserve">որոշման` 1-ին կետի 1-ին ենթակետում ««Պետական կենսաթոշակների մասին» Հայաստանի Հանրապետության օրենքի 48.1-ին հոդվածով» բառերը փոխարինել ««Սոցիալական աջակցության մասին» օրենքի 22.1-ին հոդվածի 1-ին մասի 8-12-րդ կետերով» բառերով․</w:t>
      </w:r>
    </w:p>
    <w:p>
      <w:pPr>
        <w:numPr>
          <w:ilvl w:val="0"/>
          <w:numId w:val="3"/>
        </w:numPr>
      </w:pPr>
      <w:r>
        <w:rPr/>
        <w:t xml:space="preserve">N 1 հավելվածում`</w:t>
      </w:r>
    </w:p>
    <w:p>
      <w:pPr>
        <w:jc w:val="both"/>
      </w:pPr>
      <w:r>
        <w:rPr/>
        <w:t xml:space="preserve">ա. 4-րդ կետում և 52.3-րդ կետի 1-ին նախադասությունում «նշանակող» բառից հետո լրացնել «ցանկացած» բառով,</w:t>
      </w:r>
    </w:p>
    <w:p>
      <w:pPr>
        <w:jc w:val="both"/>
      </w:pPr>
      <w:r>
        <w:rPr/>
        <w:t xml:space="preserve">բ. 8.1-ին կետը «կենսաթոշակ նշանակող» բառերից հետո լարցնել «կամ ծառայության կենսաթոշակ նշանակող ցանկացած» բառերով,</w:t>
      </w:r>
    </w:p>
    <w:p>
      <w:pPr/>
      <w:r>
        <w:rPr/>
        <w:t xml:space="preserve">գ․ 15.4-րդ կետից հետո լրացնել հետևյալ բովանդակությամբ նոր՝ 15.5-րդ, 15.6-րդ և 15.7-րդ կետերով.</w:t>
      </w:r>
    </w:p>
    <w:p>
      <w:pPr>
        <w:jc w:val="both"/>
      </w:pPr>
      <w:r>
        <w:rPr/>
        <w:t xml:space="preserve">«15.5. Անձի՝ աշխատանքային գրքույկում կամ արխիվային տեղեկանքում նշված՝ 1992-2003թթ․ ժամանակահատվածում սոցիալական վճարներ կատարած լինելը հավաստվում է ապահովադիրի կողմից սոցիալական վճարներ կատարելու մասին սույն կարգի 15-րդ կետի 1-ին ենթակետում նշված բազայում առկա տեղեկատվությամբ։ Լուծարված ապահովադիրների կողմից մինչև լուծարումը՝ աշխատանքային գրքույկում կամ արխիվային տեղեկանքում նշված՝ 1992-2003թթ․ ժամանակահատվածում սոցիալական վճարներ կատարված լինելը հավաստվում է օրենսդրությամբ սահմանված կարգով լուծարումը հաստատող տվյալներով և ապահովադիրի կողմից մինչև լուծարումն ընկած ժամանակահատվածն ընդգրկող վերջին ամսաթվի դրությամբ սոցիալական վճարներ կատարելու մասին սույն կարգի 15-րդ կետի 1-ին ենթակետում նշված բազայում առկա տեղեկատվությամբ։ Սույն կետում նշված դեպքերում հիմք է ընդունվում աշխատանքային գրքույկում կամ արխիվային տեղեկանքում նշված այն ժամանակահատվածը, որի համար, ըստ բազայի տվյալների, ապահովադիրը կատարել է սոցիալական վճարներ։</w:t>
      </w:r>
    </w:p>
    <w:p>
      <w:pPr>
        <w:jc w:val="both"/>
      </w:pPr>
      <w:r>
        <w:rPr/>
        <w:t xml:space="preserve">15.6. Անձի՝ աշխատանքային գրքույկում կամ արխիվային տեղեկանքում նշված՝ 2004-2012թթ․ ժամանակահատվածում սոցիալական վճարներ կատարած լինելը հավաստվում է ապահովադիրի կողմից սոցիալական վճարներ կատարելու մասին սույն կարգի 15-րդ կետի 2-րդ ենթակետում նշված բազաներից որևէ մեկում առկա  տեղեկատվությամբ։ Ընդ որում, ըստ հարկային մարմնի կողմից ծառայությանը տրամադրվող տվյալների բազայի (տեղեկատվության)՝ հիմք է ընդունվում այն ժամանակահատվածը, որի համար կատարված են սոցիալական վճարներ և առկա չէ ապառք։</w:t>
      </w:r>
    </w:p>
    <w:p>
      <w:pPr/>
      <w:r>
        <w:rPr/>
        <w:t xml:space="preserve">15.7. Եթե ազգային արխիվը, ի պատասխան սույն կարգի 15.1-ին կետի համաձայն կատարված հարցման, չի տրամադրում տեղեկատվություն արխիվային փաստաթղթերի բացակայության հիմքով և գրության մեջ նշում է գործատուի գտնվելու վայրի հասցեն, որտեղից կարող է ձեռք բերվել անհրաժեշտ տեղեկատվությունը, ապա ծառայության կենսաթոշակ նշանակող ստորաբաժանումը ազգային արխիվից պատասխանը ստանալուց հետո 5 աշխատանքային օրվա ընթացքում հարցում է կատարում տվյալ գործատուին։ Այս դեպքում ևս չվճարված կենսաթոշակի գումարները վճարվում են անցած ամբողջ ժամանակահատվածի համար (ամբողջությամբ):»,</w:t>
      </w:r>
    </w:p>
    <w:p>
      <w:pPr>
        <w:jc w:val="both"/>
      </w:pPr>
      <w:r>
        <w:rPr/>
        <w:t xml:space="preserve">դ․ 36.4-րդ կետի 1-ին պարբերությունում «հիմնական կենսաթոշակի չափը և (կամ) զինվորական ծառայության մեկ տարվա արժեքը փոխվելու դեպքում` հիմք ընդունելով զինվորական կենսաթոշակի միջին չափի աճը` արտահայտված տոկոսով» բառերը փոխարինել «օրենքի 19-րդ հոդվածով սահմանված կարգով: Այս դեպքում անձնական գործակիցը որոշվում է կենսաթոշակառուի` որպես զինծառայող զբաղեցրած վերջին պաշտոնի և կենսաթոշակի գործում առկա փաստաթղթերով հաշվարկված զինվորական ծառայության ստաժի հիման վրա՝ Հայաստանի Հանրապետության կառավարության 2014 թվականի  հուլիսի 17-ի թիվ 815-Ն որոշմամբ սահմանված կարգով: Եթե վերահաշվարկված զինվորական կենսաթոշակի չափը ցածր է նախկին չափից, ապա կենսաթոշակը վճարվում է նախկին չափով» բառերով,</w:t>
      </w:r>
    </w:p>
    <w:p>
      <w:pPr>
        <w:jc w:val="both"/>
      </w:pPr>
      <w:r>
        <w:rPr/>
        <w:t xml:space="preserve">ե.44-րդ կետից հետո լրացնել հետևյալ բովանդակությամբ նոր՝ 44.1-րդ, 44.2-րդ, 44.3-րդ  և 44․4-րդ  կետերով.</w:t>
      </w:r>
    </w:p>
    <w:p>
      <w:pPr/>
      <w:r>
        <w:rPr/>
        <w:t xml:space="preserve"> «44.1. Սույն կարգի 43-րդ կետի 1-ին ենթակետում նշված դեպքում կենսաթոշակի վերահաշվարկի դիմումը աշխատող կենսաթոշակառուն կարող է ներկայացնել նաև առցանց եղանակով, եթե դիմելու օրվա դրությամբ կենսաթոշակի վճարումը դադարեցված չէ։ Այս դեպքում կենսաթոշակառուն www.ssa.am կայքէջից մուտք է գործում առցանց տվյալները ներկայացնելու ծրագրային միջավայր (այսուհետ՝ ծրագրային միջավայր) և համապատասխան ծրագրային գործիքակազմի միջոցով մուտքագրում է կենսաթոշակը վերահաշվարկելու համար անհրաժեշտ և պարտադիր լրացման ենթակա դաշտերի տվյալները։ Դիմողը ծրագրային միջավայր մուտք է գործում՝</w:t>
      </w:r>
    </w:p>
    <w:p>
      <w:pPr>
        <w:jc w:val="both"/>
      </w:pPr>
      <w:r>
        <w:rPr/>
        <w:t xml:space="preserve">1) մինչև բջջային կապի հեռախոսահամարի կիրառմամբ անհատի խիստ նույնականացման նպատակով բջջային էլեկտրոնային թվային ստորագրության օպերատորի կողմից մատուցվող ծառայություններից փաստացի (լիարժեք) օգտվելու համար անհրաժեշտ պայմանների ձևավորումը (ներառյալ Հայաստանի Հանրապետության աշխատանքի և սոցիալական հարցերի նախարարության և բջջային էլեկտրոնային թվային ստորագրության օպերատորի միջև անհատի խիստ նույնականացման համակարգի սպասարկման մասին պայմանագիր կնքելը, անհատի խիստ նույնականացման ծառայությունների ամբողջական գործարկումը, այդ ծառայությունների հասանելիությունը և մատչելիությունը)՝ www.ssa.am կայքէջի կողմից տրամադրված մուտքի անվան և գաղտնաբառի կիրառմամբ (տրամադրվում է www.ssa.am կայքէջում գրանցվելիս).</w:t>
      </w:r>
    </w:p>
    <w:p>
      <w:pPr>
        <w:jc w:val="both"/>
      </w:pPr>
      <w:r>
        <w:rPr/>
        <w:t xml:space="preserve">2) նույնականացման քարտի կիրառմամբ.</w:t>
      </w:r>
    </w:p>
    <w:p>
      <w:pPr/>
      <w:r>
        <w:rPr/>
        <w:t xml:space="preserve">3) բջջային էլեկտրոնային թվային ստորագրության օպերատորի կողմից թողարկված բջջային կապի հեռախոսահամարի կիրառմամբ։</w:t>
      </w:r>
    </w:p>
    <w:p>
      <w:pPr/>
      <w:r>
        <w:rPr/>
        <w:t xml:space="preserve">44.2. Եթե դիմողը ծրագրային միջավայր մուտք է գործում նույնականացման քարտի կամ սույն կարգով սահմանված հեռախոսահամարի միջոցով, ապա դիմողի նույնականացումն իրականացվում է Հայաստանի Հանրապետության կառավարության 2017 թվականի մայիսի 25-ի N 572-Ն որոշման պահանջների համաձայն։</w:t>
      </w:r>
    </w:p>
    <w:p>
      <w:pPr/>
      <w:r>
        <w:rPr/>
        <w:t xml:space="preserve">44.3. Առցանց դիմումի հիման վրա՝</w:t>
      </w:r>
    </w:p>
    <w:p>
      <w:pPr/>
      <w:r>
        <w:rPr/>
        <w:t xml:space="preserve">1) վերահաշվարկվում է կենսաթոշակը և դրա մասին հաղորդագրություն է ուղարկվում ծրագրային միջավայրում մուտքագրված էլեկտրոնային փոստի հասցեին և e-citizen համակարգում կենսաթոշակառուին հատկացված պաշտոնական էլեկտրոնային փոստի հասցեին, եթե համապատասխան ծրագրային գործիքակազմի միջոցով ծրագրային միջավայրում մուտքագրված և «Եկամտային հարկի, շահութահարկի և սոցիալական վճարի անձնավորված հաշվառման մասին» օրենքով սահմանված տեղեկատվական բազայից ստացված տվյալներում առկա չեն անհամապատասխանություններ (սխալներ)․</w:t>
      </w:r>
    </w:p>
    <w:p>
      <w:pPr>
        <w:jc w:val="both"/>
      </w:pPr>
      <w:r>
        <w:rPr/>
        <w:t xml:space="preserve">2) մերժվում է կենսաթոշակ վերահաշվարկելը և դրա մասին առցանց ծանուցվում է կենսաթոշակառուին, եթե համապատասխան ծրագրային գործիքակազմի միջոցով ծրագրային միջավայրում մուտքագրված և «Եկամտային հարկի, շահութահարկի և սոցիալական վճարի անձնավորված հաշվառման մասին» օրենքով սահմանված տեղեկատվական բազայից ստացված տվյալներում առկա են անհամապատասխանություններ (սխալներ)։</w:t>
      </w:r>
    </w:p>
    <w:p>
      <w:pPr>
        <w:jc w:val="both"/>
      </w:pPr>
      <w:r>
        <w:rPr/>
        <w:t xml:space="preserve">44.4. Կենսաթոշակը վերահաշվարկելու համար ծրագրային միջավայրում մուտքագրվող տվյալներին կից փաստաթղթեր (էլեկտրոնային լուսապատճեններ) չեն ներկայացվում:»,</w:t>
      </w:r>
    </w:p>
    <w:p>
      <w:pPr>
        <w:jc w:val="both"/>
      </w:pPr>
      <w:r>
        <w:rPr/>
        <w:t xml:space="preserve">զ.48-րդ կետի 3-րդ ենթակետը «բանկ»  բառերից հետո լրացնել «կամ ազգային օպերատորին» բառերով և «բանկի»  բառերից հետո լրացնել «կամ ազգային օպերատորի» բառերով,</w:t>
      </w:r>
    </w:p>
    <w:p>
      <w:pPr>
        <w:jc w:val="both"/>
      </w:pPr>
      <w:r>
        <w:rPr/>
        <w:t xml:space="preserve">է. 55-րդ կետում «Կենսաթոշակը» բառը փոխարինել «Հաշվի առնելով օրենքի 35-րդ հոդվածի 1-ին մասի» բառերով.</w:t>
      </w:r>
    </w:p>
    <w:p>
      <w:pPr>
        <w:jc w:val="both"/>
      </w:pPr>
      <w:r>
        <w:rPr/>
        <w:t xml:space="preserve">ը․ 57-րդ կետի 1-ին նախադասությունում «բանկը, կամ վճարման ծառայություններ մատուցող» բառերը փոխարինել «կենսաթոշակը վճարող» բառերով,</w:t>
      </w:r>
    </w:p>
    <w:p>
      <w:pPr/>
      <w:r>
        <w:rPr/>
        <w:t xml:space="preserve">թ. 58-րդ կետը շարադրել հետևյալ խմբագրությամբ․</w:t>
      </w:r>
    </w:p>
    <w:p>
      <w:pPr/>
      <w:r>
        <w:rPr/>
        <w:t xml:space="preserve"> «58. Կենսաթոշակն ստանալու եղանակը կամ կենսաթոշակ վճարող կազմակերպությունը փոխելու մասին կենսաթոշակառուի դիմումը մերժվում է, եթե դրանում նշված կազմակերպությունը կենսաթոշակների վճարման ծառայություններ մատուցելու պայմանագիր չի կնքել կամ դիմելու օրվա դրությամբ դադարեցված է կենսաթոշակի վճարումը կամ կենսաթոշակառուն ընտրել է վճարման կանխիկ եղանակը և չի բավարարում օրենքի 35-րդ հոդվածի 1-ին մասի պայմաններից որևէ մեկին։» ․</w:t>
      </w:r>
    </w:p>
    <w:p>
      <w:pPr>
        <w:jc w:val="both"/>
      </w:pPr>
      <w:r>
        <w:rPr/>
        <w:t xml:space="preserve">ժ. 59-րդ կետում «, կենսաթոշակն անկանխիկ եղանակով ստանալու համար դիմելու դեպքում` նաև բանկի անվանումը, իսկ կենսաթոշակը կանխիկ եղանակով ստանալու համար դիմելու դեպքում` նաև վճարման ծառայություններ մատուցող կազմակերպության անվանումը» բառերը փոխարինել  «և կենսաթոշակ վճարող կազմակերպության անվանումը» բառերով,</w:t>
      </w:r>
    </w:p>
    <w:p>
      <w:pPr>
        <w:jc w:val="both"/>
      </w:pPr>
      <w:r>
        <w:rPr/>
        <w:t xml:space="preserve">ժա. 60-րդ կետում «(բանկի կամ վճարման ծառայություններ մատուցող կազմակերպության միջոցով)»  բառերը փոխարինել «՝ կենսաթոշակ վճարող կազմակերպության միջոցով» բառերով,</w:t>
      </w:r>
    </w:p>
    <w:p>
      <w:pPr>
        <w:jc w:val="both"/>
      </w:pPr>
      <w:r>
        <w:rPr/>
        <w:t xml:space="preserve">ժբ․ 62-րդ կետը «, լիազորագրով» բառից հետո լրացնել «(այդ թվում՝ կենսաթոշակն անընդմեջ չվճարելու 12-րդ ամսում ներկայացված լիազորագրով)» բառերով,</w:t>
      </w:r>
    </w:p>
    <w:p>
      <w:pPr>
        <w:jc w:val="both"/>
      </w:pPr>
      <w:r>
        <w:rPr/>
        <w:t xml:space="preserve">ժգ ․ 65.1-ին կետում «կամ» բառը փոխարինել «եղանակով, իսկ 14 տարեկան և դրանից բարձր տարիքի անչափահաս երեխային՝» բառերով, իսկ 2-րդ նախադասությունը ճանաչել ուժը կորցրած,</w:t>
      </w:r>
    </w:p>
    <w:p>
      <w:pPr/>
      <w:r>
        <w:rPr/>
        <w:t xml:space="preserve">ժդ․  66․1-ին կետում 1-ին նախադասությունից հանել «կամ կանխիկ» բառերը , իսկ 2-րդ նախադասությունը ճանաչել ուժը կորցրած,</w:t>
      </w:r>
    </w:p>
    <w:p>
      <w:pPr/>
      <w:r>
        <w:rPr/>
        <w:t xml:space="preserve">ժե․ 66․2-րդ կետը ճանաչել ուժը կորցրած,</w:t>
      </w:r>
    </w:p>
    <w:p>
      <w:pPr/>
      <w:r>
        <w:rPr/>
        <w:t xml:space="preserve">ժզ․ 71-րդ կետից հանել «(բանկի կամ կազմակերպությունը)»  բառերը,</w:t>
      </w:r>
    </w:p>
    <w:p>
      <w:pPr/>
      <w:r>
        <w:rPr/>
        <w:t xml:space="preserve">ժէ․ 72-րդ կետում «(բանկը կամ կազմակերպությունը)»  բառերը փոխարինել «կամ կենսաթոշակ վճարող կազմակերպությունը» բառերով,</w:t>
      </w:r>
    </w:p>
    <w:p>
      <w:pPr>
        <w:numPr>
          <w:ilvl w:val="0"/>
          <w:numId w:val="4"/>
        </w:numPr>
      </w:pPr>
      <w:r>
        <w:rPr/>
        <w:t xml:space="preserve">որոշման N 2 հավելվածում`</w:t>
      </w:r>
    </w:p>
    <w:p>
      <w:pPr/>
      <w:r>
        <w:rPr/>
        <w:t xml:space="preserve">ա. 21.1-ին կետի 8-րդ ենթակետը «ստաժում» բառից հետո լրացնել «՝ սկսած քաղաքացիաիրավական պայմանագրի, իսկ սույն կետի 4-րդ ենթակետում նշված դեպքում՝ ավելի վաղ կնքված պայմանագրի, գործողության առաջին օրվանից» բառերով,</w:t>
      </w:r>
    </w:p>
    <w:p>
      <w:pPr/>
      <w:r>
        <w:rPr/>
        <w:t xml:space="preserve">բ․ 21.1-ին կետի 9-րդ ենթակետը «արտադրյալը» բառից հետո լրացնել «՝ սկսած քաղաքացիաիրավական պայմանագրի, իսկ սույն կետի 4-րդ ենթակետում նշված դեպքում՝ ավելի վաղ կնքված պայմանագրի, գործողության առաջին օրվանից» բառերով,</w:t>
      </w:r>
    </w:p>
    <w:p>
      <w:pPr/>
      <w:r>
        <w:rPr/>
        <w:t xml:space="preserve">գ․ 21.1-ին կետի 9-րդ ենթակետից հետո լրացնել հետևյալ բովանդակությամբ նոր՝ 10-րդ ենթակետով.</w:t>
      </w:r>
    </w:p>
    <w:p>
      <w:pPr>
        <w:jc w:val="both"/>
      </w:pPr>
      <w:r>
        <w:rPr/>
        <w:t xml:space="preserve">դ․ «10) եթե սույն կետի 8-րդ և 9-րդ ենթակետերով սահմանված կարգով հաշվարկված՝ աշխատանքային ստաժում հաշվառման ենթակա տևողությունը համընկնում է աշխատանքային ստաժում հաշվառվող աշխատանքային կամ այլ գործունեության ժամանակահատվածի հետ, ապա համընկնող ժամանակահատվածների չափով այդ տևողությունը երկարաձգվում է, բայց ոչ ավելի, քան մինչև քաղաքացիաիրավական պայմանագրի, իսկ սույն կետի 4-րդ ենթակետում նշված դեպքում՝ ավելի ուշ ավարտվող պայմանագրի, գործողության ժամկետի ավարտման օրը։»,</w:t>
      </w:r>
    </w:p>
    <w:p>
      <w:pPr>
        <w:jc w:val="both"/>
      </w:pPr>
      <w:r>
        <w:rPr/>
        <w:t xml:space="preserve">ե․ 28-րդ կետը «քաղվածքով» բառից հետո լրացնել «կամ այդ մասին հաշմանդամություն ունեցող անձանց հաշվառման տեղեկատվական համակարգում առկա տեղեկատվությամբ» բառերով,</w:t>
      </w:r>
    </w:p>
    <w:p>
      <w:pPr>
        <w:jc w:val="both"/>
      </w:pPr>
      <w:r>
        <w:rPr/>
        <w:t xml:space="preserve">զ․ 32-րդ կետը «նախարարության» բառից հետո լրացնել «կամ Պաշտպանության նախարարության»  բառերով,</w:t>
      </w:r>
    </w:p>
    <w:p>
      <w:pPr>
        <w:numPr>
          <w:ilvl w:val="0"/>
          <w:numId w:val="5"/>
        </w:numPr>
      </w:pPr>
      <w:r>
        <w:rPr/>
        <w:t xml:space="preserve">որոշման N 3 հավելվածը 9-րդ կետից հետո լրացնել հետևյալ բովանդակությամբ նոր՝ 10-րդ կետով․</w:t>
      </w:r>
    </w:p>
    <w:p>
      <w:pPr/>
      <w:r>
        <w:rPr/>
        <w:t xml:space="preserve">«10. Օրենքի 31-րդ հոդվածի 2-րդ մասում նշված հիմքերի առկայության դեպքում զինվորական ծառայության ստաժը նույն ժամանակահատվածի համար հաշվարկվում է դրանցից մեկով՝ առավելագույն չափով:»,</w:t>
      </w:r>
    </w:p>
    <w:p>
      <w:pPr/>
      <w:r>
        <w:rPr/>
        <w:t xml:space="preserve"> որոշման N 4 հավելվածը 4-րդ կետից հետո լրացնել հետևյալ բովանդակությամբ նոր 5-րդ կետով․</w:t>
      </w:r>
    </w:p>
    <w:p>
      <w:pPr/>
      <w:r>
        <w:rPr/>
        <w:t xml:space="preserve">«5. Քաղաքացիական ավիացիայի գործարանների աշխատողներ, ովքեր իրականացնում են օդանավերի տեխնիկական սպասարկումը (նորոգումը)`</w:t>
      </w:r>
    </w:p>
    <w:p>
      <w:pPr/>
      <w:r>
        <w:rPr/>
        <w:t xml:space="preserve">1) բոլոր անվանումների ավիացիոն տեխնիկներ, շարժիչագործներ (մոտորիստներ).</w:t>
      </w:r>
    </w:p>
    <w:p>
      <w:pPr/>
      <w:r>
        <w:rPr/>
        <w:t xml:space="preserve">2) բոլոր անվանումների մեխանիկներ:»,</w:t>
      </w:r>
    </w:p>
    <w:p>
      <w:pPr>
        <w:numPr>
          <w:ilvl w:val="0"/>
          <w:numId w:val="6"/>
        </w:numPr>
      </w:pPr>
      <w:r>
        <w:rPr/>
        <w:t xml:space="preserve">որոշման N 8 հավելվածի 25-րդ կետում «՝ իր հաշվառման վայրի կենսաթոշակ նշանակող» բառերը փոխարինել «կենսաթոշակ նշանակող ցանկացած» բառերով,</w:t>
      </w:r>
    </w:p>
    <w:p>
      <w:pPr>
        <w:numPr>
          <w:ilvl w:val="0"/>
          <w:numId w:val="6"/>
        </w:numPr>
      </w:pPr>
      <w:r>
        <w:rPr/>
        <w:t xml:space="preserve">որոշման N 9 հավելվածում`</w:t>
      </w:r>
    </w:p>
    <w:p>
      <w:pPr/>
      <w:r>
        <w:rPr/>
        <w:t xml:space="preserve">ա․ 14-րդ կետը շարադրել հետևյալ խմբագրությամբ․</w:t>
      </w:r>
    </w:p>
    <w:p>
      <w:pPr/>
      <w:r>
        <w:rPr/>
        <w:t xml:space="preserve">«14. Տուն-ինտերնատում ապրող կենսաթոշակառուների կենսաթոշակը վճարվում է կենսաթոշակառուի դիմումի հիման վրա՝ կանխիկ կամ անկանխիկ եղանակով՝ հաշվի առնելով օրենքի 35-րդ հոդվածի 1-ին մասի դրույթները։ Կենսաթոշակը կանխիկ եղանակով առանձին ցուցակով վճարվում է  տուն ինտերնատում։»․</w:t>
      </w:r>
    </w:p>
    <w:p>
      <w:pPr/>
      <w:r>
        <w:rPr/>
        <w:t xml:space="preserve">բ. 18․1-ին կետում «նրա հաշվառման վայրի կենսաթոշակ նշանակող» բառերը փոխարինել «ծառայության կենսաթոշակ նշանակող ցանկացած» բառերով,</w:t>
      </w:r>
    </w:p>
    <w:p>
      <w:pPr/>
      <w:r>
        <w:rPr/>
        <w:t xml:space="preserve">գ․ 18.2-րդ և 19-րդ կետերը «կենսաթոշակ նշանակող» բառերից հետո լրացնել «ծառայության կենսաթոշակ նշանակող ցանկացած» բառերով,</w:t>
      </w:r>
    </w:p>
    <w:p>
      <w:pPr/>
      <w:r>
        <w:rPr/>
        <w:t xml:space="preserve">դ․ 20-րդ կետի 3-րդ և 7-րդ ենթակետերն ուժը կորցրած ճանաչել:</w:t>
      </w:r>
    </w:p>
    <w:p>
      <w:pPr>
        <w:numPr>
          <w:ilvl w:val="0"/>
          <w:numId w:val="7"/>
        </w:numPr>
      </w:pPr>
      <w:r>
        <w:rPr/>
        <w:t xml:space="preserve">որոշման N 10 հավելվածում`</w:t>
      </w:r>
    </w:p>
    <w:p>
      <w:pPr>
        <w:jc w:val="both"/>
      </w:pPr>
      <w:r>
        <w:rPr/>
        <w:t xml:space="preserve">ա. 5-րդ կետի 1-ին ենթակետը «դիմումը» բառից հետո լրացնել «, որում նշվում է կենսաթոշակի վճարման եղանակը (անկանխիկ եղանակով վճարելու դեպքում՝ բանկի կամ ազգային օպերատորի անվանումը), հեռախոսահամարը և էլեկտրոնային փոստի հասցեն» բառերով, իսկ 5-րդ ենթակետը ճանաչել ուժը կորցրած,</w:t>
      </w:r>
    </w:p>
    <w:p>
      <w:pPr/>
      <w:r>
        <w:rPr/>
        <w:t xml:space="preserve">բ․ 6-րդ կետի 6-րդ ենթակետից հետո լրացնել հետևյալ բովանդակությամբ նոր՝ 7-րդ ենթակետով.</w:t>
      </w:r>
    </w:p>
    <w:p>
      <w:pPr/>
      <w:r>
        <w:rPr/>
        <w:t xml:space="preserve">«7) սոցիալական վճար կատարած լինելու մասին տեղեկանքը (կամ այդ փաստը հավաստող վճարման հանձնարարագրեր, անդորրագրեր) կամ գործատուի (Հայաստանյայց առաքելական սուրբ եկեղեցու եկեղեցականի դեպքում` Մայր Աթոռ Սուրբ Էջմիածնի կաթողիկոսարանի) տված տեղեկանքն աշխատավարձի չափի մասին` ըստ տարիների և ամիսների:»,</w:t>
      </w:r>
    </w:p>
    <w:p>
      <w:pPr/>
      <w:r>
        <w:rPr/>
        <w:t xml:space="preserve">գ․ 6-րդ կետի վերջին պարբերությունը ճանաչել ուժը կորցրած, իսկ 6-րդ կետից հետո լրացնել նոր՝ 6.1-ին կետ հետևյալ բովանդակությամբ․</w:t>
      </w:r>
    </w:p>
    <w:p>
      <w:pPr/>
      <w:r>
        <w:rPr/>
        <w:t xml:space="preserve">«6.1. Սույն ցանկի 6-րդ կետի 3-րդ, 4-րդ և 7-րդ ենթակետերում նշված տեղեկանքների բնօրինակները պահվում են կենսաթոշակ նշանակող ստորաբաժանումում:»․</w:t>
      </w:r>
    </w:p>
    <w:p>
      <w:pPr/>
      <w:r>
        <w:rPr/>
        <w:t xml:space="preserve">դ․12-րդ կետի 5-րդ ենթակետից հանել «և դրա պատճենը» բառերը,</w:t>
      </w:r>
    </w:p>
    <w:p>
      <w:pPr>
        <w:jc w:val="both"/>
      </w:pPr>
      <w:r>
        <w:rPr/>
        <w:t xml:space="preserve">ե․ 25-րդ կետի 1-ին ենթակետը «դիմումը» բառից հետո լրացնել «, որում նշվում է կենսաթոշակի վճարման եղանակը (անկանխիկ եղանակով վճարելու դեպքում՝ բանկի կամ ազգային օպերատորի անվանումը), հեռախոսահամարը և էլեկտրոնային փոստի հասցեն» բառերով, իսկ 2-րդ ենթակետից հանել «և դրա պատճենը» բառերը,</w:t>
      </w:r>
    </w:p>
    <w:p>
      <w:pPr>
        <w:jc w:val="both"/>
      </w:pPr>
      <w:r>
        <w:rPr/>
        <w:t xml:space="preserve">զ․ 28-րդ կետի 1-ին ենթակետը «դիմումը» բառից հետո լրացնել «, որում նշվում է բանկի անվանումը (որտեղից անձը ցանկանում է ստանալ թաղման նպաստը), հեռախոսահամարը և էլեկտրոնային փոստի հասցեն» բառերով։</w:t>
      </w:r>
    </w:p>
    <w:p>
      <w:pPr>
        <w:numPr>
          <w:ilvl w:val="0"/>
          <w:numId w:val="8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>
          <w:b w:val="1"/>
          <w:bCs w:val="1"/>
        </w:rPr>
        <w:t xml:space="preserve"> </w:t>
      </w:r>
    </w:p>
    <w:p>
      <w:pPr/>
      <w:br/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F15F2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10DC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C0D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A32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60A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14D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BFBD140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2026-04-01T12:20:36+04:00</dcterms:created>
  <dcterms:modified xsi:type="dcterms:W3CDTF">2026-04-01T12:20:36+04:00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