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 կատարելու մասին», ««Գործունեության իրականացման ծանուցման մասին» Հայաստանի Հանրապետության օրենքում լրացում կատարելու մասին», ««Պետական տուրքի մասին» Հայաստանի Հանրապետության օրենքում լրացում և փոփոխություն կատարելու մասին» ՀՀ օրենքներ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ՀԱՐԿԱՅԻՆ ՕՐԵՆՍԳՐՔՈՒՄ ԼՐԱՑՈՒՄՆԵՐ ԵՎ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2016 թվականի հոկտեմբերի 4-ի հարկային օրենսգրքի (այսուհետ՝ Օրենսգիրք) 62-րդ հոդվածը լրացնել 21-րդ մասով նոր բովանդակությամբ.</w:t>
      </w:r>
    </w:p>
    <w:p>
      <w:pPr>
        <w:jc w:val="both"/>
      </w:pPr>
      <w:r>
        <w:rPr/>
        <w:t xml:space="preserve">«4. Ավտոարտադրողի պաշտոնական ներկայացուցչի կողմից ֆիզիկական անձանցից ձեռք բերված տրանսպորտային միջոցի և (կամ) գյուղատնտեսական տեխնիկայի հետագա օտարման դեպքում ԱԱՀ-ով հարկման բազա է համարվում վերջինիս ձեռքբերման և օտարման միջև դրական տարբերությունը: Հարկման բազայի որոշման նշված դույթները կիրառվում են ավտոարտադրողի պաշտոնական ներկայացուցչի գործունեության իրավունքի ձեռքբերման թույլտվություն ունեցող՝ կազմակերպության կամ անհատ ձեռնարկատիրոջ կողմից տրանսպորտային միջոցների օտարման դեպքում»։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</w:t>
      </w:r>
      <w:r>
        <w:rPr>
          <w:b w:val="1"/>
          <w:bCs w:val="1"/>
        </w:rPr>
        <w:t xml:space="preserve"> 147</w:t>
      </w:r>
      <w:r>
        <w:rPr/>
        <w:t xml:space="preserve">-րդ հոդվածի 1-ին մասը լրացնել 41-րդ կետով նոր բովանդակությամբ.</w:t>
      </w:r>
    </w:p>
    <w:p>
      <w:pPr>
        <w:jc w:val="both"/>
      </w:pPr>
      <w:r>
        <w:rPr/>
        <w:t xml:space="preserve">«40) սեփականության իրավունքով ֆիզիկական անձանց պատկանող տրանսպորտային միջոցի և (կամ) գյուղատնտեսական տեխնիկայի օտարումից օրենսդրությամբ սահմանված կարգով համապատասխան լիցենզիա ունեցող՝ ավտոարտադրողների պաշտոնական ներկայացուցչից ստացվող եկամուտները, բացառությամբ այն դեպքերի, երբ եկամուտները վերաբերվում են այն տրանսպորտային միջոցի և (կամ) գյուղատնտեսական տեխնիկայի օտարմանը, որոնք շահագործվելու են (ենթակա են շահագործման) ավտոարտադրողների պաշտոնական ներկայացուցչի կողմից»։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Օրենսգրքի 150-րդ հոդվածում՝</w:t>
      </w:r>
    </w:p>
    <w:p>
      <w:pPr>
        <w:jc w:val="both"/>
      </w:pPr>
      <w:r>
        <w:rPr/>
        <w:t xml:space="preserve">1) լրացնել 16-րդ մասով նոր բովանդակությամբ.</w:t>
      </w:r>
    </w:p>
    <w:p>
      <w:pPr>
        <w:jc w:val="both"/>
      </w:pPr>
      <w:r>
        <w:rPr/>
        <w:t xml:space="preserve">«16. Ֆիզիկական անձի կողմից ավտոարտադրողների պաշտոնական ներկայացուցչին տրանսպորտային միջոցի (և գյուղատնտեսական տեխնիկայի) օտարման դեպքում եկամտային հարկ չի հաշվարկվում և չի վճարվում։»։</w:t>
      </w:r>
    </w:p>
    <w:p>
      <w:pPr>
        <w:jc w:val="both"/>
      </w:pPr>
      <w:r>
        <w:rPr/>
        <w:t xml:space="preserve">2) 9-րդ մասում «11-րդ մասով» բառերը փոխարինել «11-րդ և 16-րդ մասերով» բառերով, իսկ «դրույքաչափով բառից հետո լրացնել «` հաշվի առնելով Օրենսգրքի 147-րդ հոդվածով սահմանված նվազեցումները» բառերը։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պահից: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«ԳՈՐԾՈՒՆԵՈՒԹՅԱՆ ԻՐԱԿԱՆԱՑՄԱՆ ԾԱՆՈՒՑՄԱՆ 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«Գործունեության իրականացման ծանուցման մասին» 2015 թվականի նոյեմբերի 13-ի ՀO-120-Ն օրենքի 22-րդ հոդվածի 2-րդ մասում ծանուցման ենթակա գործունեության տեսակների աղյուսակի «4. ԳՈՐԾՈՒՆԵՈՒԹՅԱՆ ԱՅԼ ԲՆԱԳԱՎԱՌՆԵՐ» բաժինը լրացնել 11-րդ կետով նոր բովանդակությամբ.</w:t>
      </w:r>
    </w:p>
    <w:tbl>
      <w:tblGrid>
        <w:gridCol w:w="615" w:type="dxa"/>
        <w:gridCol w:w="8250" w:type="dxa"/>
        <w:gridCol w:w="435" w:type="dxa"/>
        <w:gridCol w:w="480" w:type="dxa"/>
        <w:gridCol w:w="450" w:type="dxa"/>
      </w:tblGrid>
      <w:tblPr>
        <w:tblW w:w="10230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/>
              <w:t xml:space="preserve">«11.</w:t>
            </w:r>
          </w:p>
        </w:tc>
        <w:tc>
          <w:tcPr>
            <w:tcW w:w="8250" w:type="dxa"/>
            <w:noWrap/>
          </w:tcPr>
          <w:p>
            <w:pPr/>
            <w:r>
              <w:rPr/>
              <w:t xml:space="preserve">Ավտոարտադրողի պաշտոնական ներկայացուցչի գործունեության իրավունք ձեռք բերելու համար</w:t>
            </w:r>
          </w:p>
        </w:tc>
        <w:tc>
          <w:tcPr>
            <w:tcW w:w="435" w:type="dxa"/>
            <w:noWrap/>
          </w:tcPr>
          <w:p>
            <w:pPr/>
            <w:r>
              <w:rPr/>
              <w:t xml:space="preserve">ԿՄ»։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պահից: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ԼՐԱՑՈՒՄ</w:t>
      </w:r>
      <w:r>
        <w:rPr>
          <w:b w:val="1"/>
          <w:bCs w:val="1"/>
        </w:rPr>
        <w:t xml:space="preserve"> ԵՎ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«Պետական տուրքի մասին» 1997 թվականի դեկտեմբերի 27-ի ՀO-186 օրենքի 20.1-ին հոդվածում՝</w:t>
      </w:r>
    </w:p>
    <w:p>
      <w:pPr>
        <w:jc w:val="both"/>
      </w:pPr>
      <w:r>
        <w:rPr/>
        <w:t xml:space="preserve">1)  1-ին կետը լրացնել 17-րդ կետով նոր բովանդակությամբ.</w:t>
      </w:r>
    </w:p>
    <w:p>
      <w:pPr>
        <w:jc w:val="both"/>
      </w:pPr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«17) Ավտոարտադրողի պաշտոնական ներկայացուցչի գործունեության իրավունք ձեռք բերելու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տարեկան բազային տուրքի 200-ապատիկի չափով».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2)  1-ին կետում կատարել համարակալման փոփոխություն՝ «13)» թվից հետո «13)» թիվը փոխարինելով «14)»-ով, «14)»-ը՝ «15)»-ով, «15)»-ը՝ «16)»-ով։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պահից: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2026-04-04T01:17:18+04:00</dcterms:created>
  <dcterms:modified xsi:type="dcterms:W3CDTF">2026-04-04T01:17:18+04:00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