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ՊԵՏԱԿԱՆ ՊԱՀՈՒՍՏԻ ՆՅՈՒԹԱԿԱՆ ԱՐԺԵՔՆԵՐԻ ՊԱՀՊԱՆՄԱՆ ԸՆԹԱՑՔՈՒՄ ԱՌԱՋԱՑՈՂ ԲՆԱԿԱՆ ԿՈՐՈՒՍՏՆԵՐԻ ՀԱՇՎԱՐԿՄԱՆ ԿԱՐԳԸ ԵՎ ՆՈՐՄԱՏԻՎՆԵՐԸ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N   - Ն</w:t>
      </w:r>
    </w:p>
    <w:p>
      <w:pPr>
        <w:jc w:val="center"/>
      </w:pPr>
      <w:r>
        <w:rPr/>
        <w:t xml:space="preserve">ՊԵՏԱԿԱՆ ՊԱՀՈՒՍՏԻ ՆՅՈՒԹԱԿԱՆ ԱՐԺԵՔՆԵՐԻ ՊԱՀՊԱՆՄԱՆ ԸՆԹԱՑՔՈՒՄ ԱՌԱՋԱՑՈՂ ԲՆԱԿԱՆ ԿՈՐՈՒՍՏՆԵՐԻ ՀԱՇՎԱՐԿՄԱՆ ԿԱՐԳԸ ԵՎ ՆՈՐՄԱՏԻՎՆԵՐԸ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«Նյութական պահուստի մասին» Հայաստանի Հանրապետության օրենքի 7-րդ հոդվածի 3-րդ մասը`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պետական պահուստի նյութական արժեքների պահպանման ընթացքում առաջացող բնական կորուստների հաշվարկման կարգը և նորմատիվները՝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/>
      <w:r>
        <w:rPr/>
        <w:t xml:space="preserve">                   ՎԱՐՉԱՊԵՏ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_______________ ____ №____-Ն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ՊԱՀՈՒՍՏԻ ՊԱՀՊԱՆՄԱՆ ԺԱՄԱՆԱԿ ՆՅՈՒԹԱԿԱՆ ԱՐԺԵՔՆԵՐԻ ՊԱՀՊԱՆՄԱՆ ԸՆԹԱՑՔՈՒՄ ԱՌԱՋԱՑՈՂ</w:t>
      </w:r>
    </w:p>
    <w:p>
      <w:pPr>
        <w:jc w:val="center"/>
      </w:pPr>
      <w:r>
        <w:rPr>
          <w:b w:val="1"/>
          <w:bCs w:val="1"/>
        </w:rPr>
        <w:t xml:space="preserve"> ԲՆԱԿԱՆ ԿՈՐՈՒՍՏՆԵՐԻ ՀԱՇՎԱՐԿՄԱՆ ԿԱՐԳԸ և ՆՈՐՄԱՏԻՎՆԵՐԸ ՍԱՀՄԱՆԵԼՈՒ ՄԱՍԻ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Սույնով սահմանվում է պետական պահուստի նյութական արժեքների՝ նավթամթերքի և հացահատիկի պահպանման ժամանակ առաջացող բնական կորուստների չափերը (բնական կորուստը պահպանման ժամանակ)։</w:t>
      </w:r>
    </w:p>
    <w:p>
      <w:pPr>
        <w:numPr>
          <w:ilvl w:val="0"/>
          <w:numId w:val="4"/>
        </w:numPr>
      </w:pPr>
      <w:r>
        <w:rPr/>
        <w:t xml:space="preserve">Բնական կորուստները նավթամթերքի (վառելիքի) և հացահատիկի զանգվածի բնականոն նվազումն է որակի պահպանմամբ, ինչը ֆիզիկաքիմիական, մեխանիկական, բնակլիմայական գործոնների ազդեցության հետևանք է:</w:t>
      </w:r>
    </w:p>
    <w:p>
      <w:pPr>
        <w:numPr>
          <w:ilvl w:val="0"/>
          <w:numId w:val="4"/>
        </w:numPr>
      </w:pPr>
      <w:r>
        <w:rPr/>
        <w:t xml:space="preserve">Բնական կորուստներին չեն վերաբերում նավթամթերքի և հացահատիկի այն պակասորդներին, որոնք առաջացել են տնտեսավարող սուբյեկտի կողմից սահմանված պահանջների և տեխնիկական շահագործման կանոնների խախտման կամ բնական աղետների հետևանքներով:</w:t>
      </w:r>
    </w:p>
    <w:p>
      <w:pPr>
        <w:numPr>
          <w:ilvl w:val="0"/>
          <w:numId w:val="4"/>
        </w:numPr>
      </w:pPr>
      <w:r>
        <w:rPr/>
        <w:t xml:space="preserve">Բնական կորուստներ չեն այն կորուստները, որոնք առաջացել են տարողությունների և խողովակաշարերի մաքրման և վերանորոգման ցանկացած տեսակի աշխատանքների հետևանքով, վթարային կորուստները, ինչպես նաև կորուստները գողոնից, բնական աղետներից և ներպահեստային մղումներից:</w:t>
      </w:r>
    </w:p>
    <w:p>
      <w:pPr>
        <w:numPr>
          <w:ilvl w:val="0"/>
          <w:numId w:val="4"/>
        </w:numPr>
      </w:pPr>
      <w:r>
        <w:rPr/>
        <w:t xml:space="preserve">Բնական կորուստների հաշվարկն իրականացվում է սույն հավելվածով սահմանված չափերին համապատասխան՝ դրանք համադրելով նավթամթերքի և հացահատիկի փաստացի մնացորդային զանգվածի հետ:</w:t>
      </w:r>
    </w:p>
    <w:p>
      <w:pPr>
        <w:numPr>
          <w:ilvl w:val="0"/>
          <w:numId w:val="4"/>
        </w:numPr>
      </w:pPr>
      <w:r>
        <w:rPr/>
        <w:t xml:space="preserve">Այն դեպքում, երբ փաստացի մնացորդային զանգվածն ավելի մեծ է, քան սույն հավելվածով սահմանված բնական կորստի չափերով հաշվարկված զանգվածը հիմք է ընդունվում փաստացի մնացորդային զանգվածը:</w:t>
      </w:r>
    </w:p>
    <w:p>
      <w:pPr>
        <w:numPr>
          <w:ilvl w:val="0"/>
          <w:numId w:val="4"/>
        </w:numPr>
      </w:pPr>
      <w:r>
        <w:rPr/>
        <w:t xml:space="preserve">Այն դեպքում, երբ փաստացի մնացորդային զանգվածն ավելի փոքր է, քան սույն հավելվածով սահմանված բնական կորստի չափերով հաշվարկված զանգվածը, հիմք է ընդունվում սույն հավելվածով սահմանված բնական կորստի չափերով հաշվարկված զանգվածը: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Նավթամթերքի տարողություններում պահպանման ընթացքում բնական կորուստների չափերը.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Նավթամթերքի փաստացի (բնական) կորուստների նորմերը ներկայացված են ըստ սեզոնայնության, տարվա երկու ժամանակահատվածի համար' աշուն-ձմեռ (հոկտեմբերի 1-ից մարտի 31-ը) և գարուն-ամառ (ապրիլի 1-ից սեպտեմբերի 30-ը):</w:t>
      </w:r>
    </w:p>
    <w:p>
      <w:pPr>
        <w:numPr>
          <w:ilvl w:val="0"/>
          <w:numId w:val="6"/>
        </w:numPr>
      </w:pPr>
      <w:r>
        <w:rPr/>
        <w:t xml:space="preserve">Այն դեպքերում, երբ նավթամթերքը պետք է տաքացվի, ապա անկախ տարվա եղանակից և սեզոնից կիրառվում է գարուն-ամառ սեզոնի նորմը, որը բազմապատկվում է կախված տաքացման ջերմաստիճանից'</w:t>
      </w:r>
    </w:p>
    <w:p>
      <w:pPr/>
      <w:r>
        <w:rPr/>
        <w:t xml:space="preserve">1) 21-30 °C ջերմաստիճանի դեպքում' 1,5 գործակցով</w:t>
      </w:r>
    </w:p>
    <w:p>
      <w:pPr/>
      <w:r>
        <w:rPr/>
        <w:t xml:space="preserve">2) 31-50°C ջերմաստիճանի դեպքում' 2 գործակցով</w:t>
      </w:r>
    </w:p>
    <w:p>
      <w:pPr/>
      <w:r>
        <w:rPr/>
        <w:t xml:space="preserve">3) 51°Շ-ից ավելի ջերմաստիճանի դեպքում' 3 գործակցով</w:t>
      </w:r>
    </w:p>
    <w:p>
      <w:pPr/>
      <w:r>
        <w:rPr/>
        <w:t xml:space="preserve">4) 11-20 °C ջերմաստիճանի տաքացման դեպքում աշնան-ձմռան սեզոնի համապատասխան նորմը աշնան-ձմռան սեզոնում բազմապատկվում է 1.5 գործակցով:</w:t>
      </w:r>
    </w:p>
    <w:p>
      <w:pPr>
        <w:numPr>
          <w:ilvl w:val="0"/>
          <w:numId w:val="7"/>
        </w:numPr>
      </w:pPr>
      <w:r>
        <w:rPr/>
        <w:t xml:space="preserve">Նավթամթերքի ըստ տեսակների դասերը ներկայացված են սույն հավելվածի N 1 աղյուսակով:</w:t>
      </w:r>
    </w:p>
    <w:p>
      <w:pPr>
        <w:numPr>
          <w:ilvl w:val="0"/>
          <w:numId w:val="7"/>
        </w:numPr>
      </w:pPr>
      <w:r>
        <w:rPr/>
        <w:t xml:space="preserve">Նավթամթերքի բնական կորստի չափը տարողություններում ընդունման (բեռնաբարձման) դեպքում ներկայացված է N 2 աղյուսակում:</w:t>
      </w:r>
    </w:p>
    <w:p>
      <w:pPr>
        <w:numPr>
          <w:ilvl w:val="0"/>
          <w:numId w:val="7"/>
        </w:numPr>
      </w:pPr>
      <w:r>
        <w:rPr/>
        <w:t xml:space="preserve">Ստորգետնյա տարողություններ են համարվում այն երկաթբետոնե և պողպատե տարողությունները, որոնք գետնի մակերևույթից 0.2 մ խորությամբ են ծածկված:</w:t>
      </w:r>
    </w:p>
    <w:p>
      <w:pPr>
        <w:numPr>
          <w:ilvl w:val="0"/>
          <w:numId w:val="7"/>
        </w:numPr>
      </w:pPr>
      <w:r>
        <w:rPr/>
        <w:t xml:space="preserve">Բնական կորստի չափը մազութի համար՝ բաց հորային ամբարներում պահպանման, ընդունման (բեռնաբարձման) և դատարկման (բեռնաթափման) դեպքում կգ-ներով 1 տոննա մազութի համար կազմում է 2.36 կգ:</w:t>
      </w:r>
    </w:p>
    <w:p>
      <w:pPr/>
      <w:r>
        <w:rPr>
          <w:b w:val="1"/>
          <w:bCs w:val="1"/>
        </w:rPr>
        <w:t xml:space="preserve">Աղյուսակ N 1.</w:t>
      </w:r>
    </w:p>
    <w:p>
      <w:pPr/>
      <w:r>
        <w:rPr/>
        <w:t xml:space="preserve"> </w:t>
      </w:r>
    </w:p>
    <w:tbl>
      <w:tblGrid>
        <w:gridCol w:w="2070" w:type="dxa"/>
        <w:gridCol w:w="8100" w:type="dxa"/>
        <w:gridCol w:w="0" w:type="dxa"/>
      </w:tblGrid>
      <w:tblPr>
        <w:tblW w:w="10170" w:type="dxa"/>
        <w:tblLayout w:type="autofit"/>
      </w:tblP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</w:t>
            </w:r>
          </w:p>
        </w:tc>
        <w:tc>
          <w:tcPr>
            <w:tcW w:w="810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տեսակները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Ավտոմոբիլային բենզիններ բոլոր տեսակների.</w:t>
            </w:r>
          </w:p>
          <w:p>
            <w:pPr/>
            <w:r>
              <w:rPr/>
              <w:t xml:space="preserve">Ուղղակի թորված բենզին.</w:t>
            </w:r>
          </w:p>
          <w:p>
            <w:pPr/>
            <w:r>
              <w:rPr/>
              <w:t xml:space="preserve">Գազի կայուն կոնդենսատ.</w:t>
            </w:r>
          </w:p>
          <w:p>
            <w:pPr/>
            <w:r>
              <w:rPr/>
              <w:t xml:space="preserve">Բենզին գազային կայուն (գազային կոնդենսատից).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Նավթային լուծիչներ բոլոր տեսակների՝ +50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ջերմաստիճանով</w:t>
            </w:r>
          </w:p>
          <w:p>
            <w:pPr/>
            <w:r>
              <w:rPr/>
              <w:t xml:space="preserve">Ավիացիոն բենզիններ բոլոր տեսակների</w:t>
            </w:r>
          </w:p>
          <w:p>
            <w:pPr/>
            <w:r>
              <w:rPr/>
              <w:t xml:space="preserve">Տեխնիկական իզոoկտան</w:t>
            </w:r>
          </w:p>
          <w:p>
            <w:pPr/>
            <w:r>
              <w:rPr/>
              <w:t xml:space="preserve">Նորմալ հեպտան</w:t>
            </w:r>
          </w:p>
          <w:p>
            <w:pPr/>
            <w:r>
              <w:rPr/>
              <w:t xml:space="preserve">Նավթային բենզոլ</w:t>
            </w:r>
          </w:p>
          <w:p>
            <w:pPr/>
            <w:r>
              <w:rPr/>
              <w:t xml:space="preserve">Օգտագործված նավթամթերքներ CHO մակնիշի</w:t>
            </w:r>
          </w:p>
          <w:p>
            <w:pPr/>
            <w:r>
              <w:rPr/>
              <w:t xml:space="preserve">Ռեակտիվ շարժիչների վառելիք T-2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Նավթային լուծիչներ բոլոր տեսակների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եռման ջերմաստիճանով</w:t>
            </w:r>
          </w:p>
          <w:p>
            <w:pPr/>
            <w:r>
              <w:rPr/>
              <w:t xml:space="preserve">Ռեակտիվ շարժիչների վառելիք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ջերմաստիճանով, բացառությամբ T-2</w:t>
            </w:r>
          </w:p>
          <w:p>
            <w:pPr/>
            <w:r>
              <w:rPr/>
              <w:t xml:space="preserve">Նավթային սոլվենտ</w:t>
            </w:r>
          </w:p>
          <w:p>
            <w:pPr/>
            <w:r>
              <w:rPr/>
              <w:t xml:space="preserve">Տեխնիկական կերոսին</w:t>
            </w:r>
          </w:p>
          <w:p>
            <w:pPr/>
            <w:r>
              <w:rPr/>
              <w:t xml:space="preserve">Լիգրոյին</w:t>
            </w:r>
          </w:p>
          <w:p>
            <w:pPr/>
            <w:r>
              <w:rPr/>
              <w:t xml:space="preserve">Նավթային քսիլոլ</w:t>
            </w:r>
          </w:p>
          <w:p>
            <w:pPr/>
            <w:r>
              <w:rPr/>
              <w:t xml:space="preserve">Նավթային տոլուոլ</w:t>
            </w:r>
          </w:p>
          <w:p>
            <w:pPr/>
            <w:r>
              <w:rPr/>
              <w:t xml:space="preserve">Էթիլբենզոլ տեխնիկական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Կեռոսին լուսավորման համար բոլոր տեսակների</w:t>
            </w:r>
          </w:p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ցածր պղտորման (սառեցման) կամ զտման սահմանային ջերմաստիճանով</w:t>
            </w:r>
          </w:p>
          <w:p>
            <w:pPr/>
            <w:r>
              <w:rPr/>
              <w:t xml:space="preserve">Ռեակտիվ շարժիչներ վառելիք, +150</w:t>
            </w:r>
            <w:r>
              <w:rPr>
                <w:vertAlign w:val="superscript"/>
              </w:rPr>
              <w:t xml:space="preserve">0</w:t>
            </w:r>
            <w:r>
              <w:rPr>
                <w:vertAlign w:val="superscript"/>
              </w:rPr>
              <w:t xml:space="preserve"> </w:t>
            </w:r>
            <w:r>
              <w:rPr/>
              <w:t xml:space="preserve">C-ից բարձր եռման ջերմաստիճանով</w:t>
            </w:r>
          </w:p>
          <w:p>
            <w:pPr/>
            <w:r>
              <w:rPr/>
              <w:t xml:space="preserve">Իզոպռոպիլբենզոլ տեխնիկական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պղտորման (սառեցման) կամ զտման սահմանային ջերմաստիճանով</w:t>
            </w:r>
          </w:p>
          <w:p>
            <w:pPr/>
            <w:r>
              <w:rPr/>
              <w:t xml:space="preserve">Վառարանային վառելիք կենցաղային</w:t>
            </w:r>
          </w:p>
          <w:p>
            <w:pPr/>
            <w:r>
              <w:rPr/>
              <w:t xml:space="preserve">Միջին և ցածր պտույտով դիզելային շարժիչային վառելիք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8100" w:type="dxa"/>
            <w:noWrap/>
          </w:tcPr>
          <w:p>
            <w:pPr/>
            <w:r>
              <w:rPr/>
              <w:t xml:space="preserve">Բոլոր տեսակի մազութներ</w:t>
            </w:r>
          </w:p>
          <w:p>
            <w:pPr/>
            <w:r>
              <w:rPr/>
              <w:t xml:space="preserve">Քսայուղեր բոլոր տեսակի</w:t>
            </w:r>
          </w:p>
          <w:p>
            <w:pPr/>
            <w:r>
              <w:rPr/>
              <w:t xml:space="preserve">Այլ հեղուկ նավթամթերքներ, որոնք պահանջում են տաքացում</w:t>
            </w:r>
          </w:p>
          <w:p>
            <w:pPr/>
            <w:r>
              <w:rPr/>
              <w:t xml:space="preserve">Օգտագործված նավթամթերքներ բացառությամբ CHO մակնիշի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Աղյուսակ N </w:t>
      </w:r>
      <w:r>
        <w:rPr>
          <w:b w:val="1"/>
          <w:bCs w:val="1"/>
        </w:rPr>
        <w:t xml:space="preserve">2</w:t>
      </w:r>
    </w:p>
    <w:p>
      <w:pPr/>
      <w:r>
        <w:rPr/>
        <w:t xml:space="preserve"> </w:t>
      </w:r>
    </w:p>
    <w:tbl>
      <w:tblGrid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 (կգ-ներով՝ 1 տոննա նավթամթերքի ընդունման (բեռնաբարձման) դեպքում)</w:t>
            </w:r>
          </w:p>
          <w:tbl>
            <w:tblGrid>
              <w:gridCol w:w="9750" w:type="dxa"/>
              <w:gridCol w:w="9750" w:type="dxa"/>
              <w:gridCol w:w="9750" w:type="dxa"/>
              <w:gridCol w:w="9750" w:type="dxa"/>
            </w:tblGrid>
            <w:tblPr>
              <w:tblW w:w="9750" w:type="dxa"/>
              <w:tblLayout w:type="autofit"/>
            </w:tblP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Տարողության տեսակը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Նավթամթերքի դասը</w:t>
                  </w:r>
                </w:p>
              </w:tc>
              <w:tc>
                <w:tcPr>
                  <w:tcW w:w="9750" w:type="dxa"/>
                  <w:gridSpan w:val="2"/>
                  <w:noWrap/>
                </w:tcPr>
                <w:p>
                  <w:pPr/>
                  <w:r>
                    <w:rPr/>
                    <w:t xml:space="preserve">Նավթամթերքի բնական կորստի չափերը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Վերգետնյա մետաղական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աշուն-ձմեռ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գարուն-ամառ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1,2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0.21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0.41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3,4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0.045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0.055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0.02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0.02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Վերգետնյա մետաղական ներքին պոնտոններով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1,2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0.06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0.13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Ստորգետնյա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1,2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0.14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0.30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3,4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0.035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0.045</w:t>
                  </w:r>
                </w:p>
              </w:tc>
            </w:t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0.01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0.01</w:t>
                  </w:r>
                </w:p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Նավթամթերքի տարողություններում պահպանման դեպքում բնական կորստի չափը հաշվարկվում է փաստաթղթերով ձևակերպված պահուստավորման ընդունված ու տարողություններում պահվող նավթամթերքի միջին ամսական փաստացի զանգվածը բազմապատկելով Աղյուսակ N 3-ում և Աղյուսակ N 4-ում ներկայացված կորստի չափերով:</w:t>
      </w:r>
    </w:p>
    <w:p>
      <w:pPr>
        <w:numPr>
          <w:ilvl w:val="0"/>
          <w:numId w:val="8"/>
        </w:numPr>
      </w:pPr>
      <w:r>
        <w:rPr/>
        <w:t xml:space="preserve">Պահվող նավթամթերքի միջին ամսական փաստացի զանգվածը հաշվարկվում է որպես ամսվա ընթացքում յուրաքանչյուր օրացուցային օրվա ավարտին տարողություններում պահվող նավթամթերքի զանգվածների միջին թվաբանական մեծություն:</w:t>
      </w:r>
    </w:p>
    <w:p>
      <w:pPr>
        <w:numPr>
          <w:ilvl w:val="0"/>
          <w:numId w:val="8"/>
        </w:numPr>
      </w:pPr>
      <w:r>
        <w:rPr/>
        <w:t xml:space="preserve">Կորստի նորմերը սահմանվում են ելնելով նավթամթերքի դասից, հաշվի առնելով նաև բեռնաբարձման և բեռնաթափման հետևանքով նավթամթերքի բնական կորուստների առաջացումը:</w:t>
      </w:r>
    </w:p>
    <w:p>
      <w:pPr>
        <w:numPr>
          <w:ilvl w:val="0"/>
          <w:numId w:val="8"/>
        </w:numPr>
      </w:pPr>
      <w:r>
        <w:rPr/>
        <w:t xml:space="preserve">Առաջին և երկրորդ խմբի նավթամթերքի բնական կորստի չափը տարողություններում պահպանման </w:t>
      </w:r>
      <w:r>
        <w:rPr>
          <w:b w:val="1"/>
          <w:bCs w:val="1"/>
        </w:rPr>
        <w:t xml:space="preserve">յուրաքանչյուր</w:t>
      </w:r>
      <w:r>
        <w:rPr/>
        <w:t xml:space="preserve"> ամսվա ընթացքում ներկայացվում է Աղյուսակ N 3-ով:</w:t>
      </w:r>
    </w:p>
    <w:p>
      <w:pPr/>
      <w:r>
        <w:rPr>
          <w:b w:val="1"/>
          <w:bCs w:val="1"/>
        </w:rPr>
        <w:t xml:space="preserve">Աղյուսակ </w:t>
      </w:r>
      <w:r>
        <w:rPr>
          <w:b w:val="1"/>
          <w:bCs w:val="1"/>
        </w:rPr>
        <w:t xml:space="preserve">N 3</w:t>
      </w:r>
    </w:p>
    <w:p>
      <w:pPr/>
      <w:r>
        <w:rPr>
          <w:b w:val="1"/>
          <w:bCs w:val="1"/>
        </w:rPr>
        <w:t xml:space="preserve">(կգ-ներով 1 տոննա պահպանվող նավթամթերքի քանակի համար, ամսական կտրվածքով)</w:t>
      </w:r>
    </w:p>
    <w:tbl>
      <w:tblGrid>
        <w:gridCol w:w="2235" w:type="dxa"/>
        <w:gridCol w:w="1035" w:type="dxa"/>
        <w:gridCol w:w="780" w:type="dxa"/>
        <w:gridCol w:w="645" w:type="dxa"/>
        <w:gridCol w:w="780" w:type="dxa"/>
        <w:gridCol w:w="660" w:type="dxa"/>
        <w:gridCol w:w="780" w:type="dxa"/>
        <w:gridCol w:w="15" w:type="dxa"/>
        <w:gridCol w:w="615" w:type="dxa"/>
        <w:gridCol w:w="780" w:type="dxa"/>
        <w:gridCol w:w="735" w:type="dxa"/>
        <w:gridCol w:w="780" w:type="dxa"/>
        <w:gridCol w:w="735" w:type="dxa"/>
      </w:tblGrid>
      <w:tblPr>
        <w:tblW w:w="10410" w:type="dxa"/>
        <w:tblLayout w:type="autofit"/>
      </w:tblP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տեսակ</w:t>
            </w:r>
          </w:p>
        </w:tc>
        <w:tc>
          <w:tcPr>
            <w:tcW w:w="945" w:type="dxa"/>
            <w:noWrap/>
          </w:tcPr>
          <w:p>
            <w:pPr/>
            <w:r>
              <w:rPr>
                <w:b w:val="1"/>
                <w:bCs w:val="1"/>
              </w:rPr>
              <w:t xml:space="preserve">Նավ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</w:t>
            </w:r>
          </w:p>
        </w:tc>
        <w:tc>
          <w:tcPr>
            <w:tcW w:w="15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89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Կորստի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չափը</w:t>
            </w:r>
          </w:p>
        </w:tc>
      </w:tr>
      <w:tr>
        <w:trPr/>
        <w:tc>
          <w:tcPr>
            <w:tcW w:w="7875" w:type="dxa"/>
            <w:gridSpan w:val="11"/>
            <w:noWrap/>
          </w:tcPr>
          <w:p>
            <w:pPr/>
            <w:r>
              <w:rPr>
                <w:b w:val="1"/>
                <w:bCs w:val="1"/>
              </w:rPr>
              <w:t xml:space="preserve">Տարողությունների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ծավալը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խորանարդ</w:t>
            </w:r>
          </w:p>
        </w:tc>
      </w:tr>
      <w:tr>
        <w:trPr/>
        <w:tc>
          <w:tcPr>
            <w:tcW w:w="15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400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4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400-</w:t>
            </w:r>
            <w:r>
              <w:rPr>
                <w:b w:val="1"/>
                <w:bCs w:val="1"/>
              </w:rPr>
              <w:t xml:space="preserve">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700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51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700-</w:t>
            </w:r>
            <w:r>
              <w:rPr>
                <w:b w:val="1"/>
                <w:bCs w:val="1"/>
              </w:rPr>
              <w:t xml:space="preserve">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1000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71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1000-</w:t>
            </w:r>
            <w:r>
              <w:rPr>
                <w:b w:val="1"/>
                <w:bCs w:val="1"/>
              </w:rPr>
              <w:t xml:space="preserve">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2000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66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2000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ավելի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ձմեռ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Գա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րուն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ամառ</w:t>
            </w:r>
          </w:p>
        </w:tc>
        <w:tc>
          <w:tcPr>
            <w:tcW w:w="735" w:type="dxa"/>
            <w:noWrap/>
          </w:tcPr>
          <w:p>
            <w:pPr/>
            <w:r>
              <w:rPr>
                <w:b w:val="1"/>
                <w:bCs w:val="1"/>
              </w:rPr>
              <w:t xml:space="preserve">աշուն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ձմեռ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Գա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րուն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ամառ</w:t>
            </w:r>
          </w:p>
        </w:tc>
        <w:tc>
          <w:tcPr>
            <w:tcW w:w="7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աշուն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ձմեռ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Գա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րուն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ամառ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ձմեռ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Գա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րուն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ամառ</w:t>
            </w:r>
          </w:p>
        </w:tc>
        <w:tc>
          <w:tcPr>
            <w:tcW w:w="81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ձմեռ</w:t>
            </w:r>
          </w:p>
        </w:tc>
        <w:tc>
          <w:tcPr>
            <w:tcW w:w="855" w:type="dxa"/>
            <w:noWrap/>
          </w:tcPr>
          <w:p>
            <w:pPr/>
            <w:r>
              <w:rPr>
                <w:b w:val="1"/>
                <w:bCs w:val="1"/>
              </w:rPr>
              <w:t xml:space="preserve">Գա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րուն</w:t>
            </w:r>
            <w:r>
              <w:rPr>
                <w:b w:val="1"/>
                <w:bCs w:val="1"/>
              </w:rPr>
              <w:t xml:space="preserve">-</w:t>
            </w:r>
            <w:r>
              <w:rPr>
                <w:b w:val="1"/>
                <w:bCs w:val="1"/>
              </w:rPr>
              <w:t xml:space="preserve">ամառ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մետաղական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0,37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795" w:type="dxa"/>
            <w:gridSpan w:val="2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0,24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0,80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0,50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մետաղական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ներքին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պոնտոն ներով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0,3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0,28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/>
              <w:t xml:space="preserve">0,27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0,055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մետաղական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0,37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1,04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0,95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0,29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/>
              <w:t xml:space="preserve">0,87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0,22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0,68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0,48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Վերգե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նյա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մետաղական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ներքին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պոնտոններով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0,24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0,22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735" w:type="dxa"/>
            <w:gridSpan w:val="2"/>
            <w:noWrap/>
          </w:tcPr>
          <w:p>
            <w:pPr/>
            <w:r>
              <w:rPr/>
              <w:t xml:space="preserve">0,21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875" w:type="dxa"/>
            <w:gridSpan w:val="11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1590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875" w:type="dxa"/>
            <w:gridSpan w:val="11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3-րդ, 4-րդ, 5-րդ, 6-րդ դասերի նավթամթերքի բնական կորստի չափը տարողություններում պահպանման </w:t>
      </w:r>
      <w:r>
        <w:rPr>
          <w:b w:val="1"/>
          <w:bCs w:val="1"/>
        </w:rPr>
        <w:t xml:space="preserve">յուրաքանչյուր</w:t>
      </w:r>
      <w:r>
        <w:rPr/>
        <w:t xml:space="preserve"> ամսվա ընթացքում ներկայացվում է Աղյուսակ N 4-ով:</w:t>
      </w:r>
    </w:p>
    <w:p>
      <w:pPr/>
      <w:r>
        <w:rPr>
          <w:b w:val="1"/>
          <w:bCs w:val="1"/>
        </w:rPr>
        <w:t xml:space="preserve">Աղյուսակ N </w:t>
      </w:r>
      <w:r>
        <w:rPr>
          <w:b w:val="1"/>
          <w:bCs w:val="1"/>
        </w:rPr>
        <w:t xml:space="preserve">4</w:t>
      </w:r>
    </w:p>
    <w:p>
      <w:pPr/>
      <w:r>
        <w:rPr>
          <w:b w:val="1"/>
          <w:bCs w:val="1"/>
        </w:rPr>
        <w:t xml:space="preserve">(կգ-ներով 1 տոննա պահպանվող նավթամթերքի քանակի համար, ամսական կտրվածքով)</w:t>
      </w:r>
    </w:p>
    <w:tbl>
      <w:tblGrid>
        <w:gridCol w:w="3885" w:type="dxa"/>
        <w:gridCol w:w="1455" w:type="dxa"/>
        <w:gridCol w:w="1455" w:type="dxa"/>
        <w:gridCol w:w="1455" w:type="dxa"/>
        <w:gridCol w:w="1455" w:type="dxa"/>
      </w:tblGrid>
      <w:tblPr>
        <w:tblW w:w="9705" w:type="dxa"/>
        <w:tblLayout w:type="autofit"/>
      </w:tblPr>
      <w:tr>
        <w:trPr/>
        <w:tc>
          <w:tcPr>
            <w:tcW w:w="388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82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Կորստի չափը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1455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</w:tr>
      <w:tr>
        <w:trPr/>
        <w:tc>
          <w:tcPr>
            <w:tcW w:w="3885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 մետաղական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0,13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3885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0,12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ՀԱՑԱՀԱՏԻԿԻ</w:t>
      </w:r>
      <w:r>
        <w:rPr/>
        <w:t xml:space="preserve"> </w:t>
      </w:r>
      <w:r>
        <w:rPr>
          <w:b w:val="1"/>
          <w:bCs w:val="1"/>
        </w:rPr>
        <w:t xml:space="preserve">ՊԱՀՊԱՆՄԱՆ</w:t>
      </w:r>
      <w:r>
        <w:rPr/>
        <w:t xml:space="preserve"> </w:t>
      </w:r>
      <w:r>
        <w:rPr>
          <w:b w:val="1"/>
          <w:bCs w:val="1"/>
        </w:rPr>
        <w:t xml:space="preserve">ԺԱՄԱՆԱԿ</w:t>
      </w:r>
      <w:r>
        <w:rPr/>
        <w:t xml:space="preserve"> </w:t>
      </w:r>
      <w:r>
        <w:rPr>
          <w:b w:val="1"/>
          <w:bCs w:val="1"/>
        </w:rPr>
        <w:t xml:space="preserve">ԱՌԱՋԱՑՈՂ</w:t>
      </w:r>
      <w:r>
        <w:rPr/>
        <w:t xml:space="preserve"> </w:t>
      </w:r>
      <w:r>
        <w:rPr>
          <w:b w:val="1"/>
          <w:bCs w:val="1"/>
        </w:rPr>
        <w:t xml:space="preserve">ԲՆԱԿԱՆ</w:t>
      </w:r>
      <w:r>
        <w:rPr/>
        <w:t xml:space="preserve"> </w:t>
      </w:r>
      <w:r>
        <w:rPr>
          <w:b w:val="1"/>
          <w:bCs w:val="1"/>
        </w:rPr>
        <w:t xml:space="preserve">ԿՈՐՈՒՍՏՆԵՐԻ</w:t>
      </w:r>
      <w:r>
        <w:rPr/>
        <w:t xml:space="preserve"> </w:t>
      </w:r>
      <w:r>
        <w:rPr>
          <w:b w:val="1"/>
          <w:bCs w:val="1"/>
        </w:rPr>
        <w:t xml:space="preserve">ՉԱՓԵՐԸ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ՏՈԿՈՍՆԵՐՈՎ</w:t>
      </w:r>
      <w:r>
        <w:rPr/>
        <w:t xml:space="preserve"> </w:t>
      </w:r>
      <w:r>
        <w:rPr>
          <w:b w:val="1"/>
          <w:bCs w:val="1"/>
        </w:rPr>
        <w:t xml:space="preserve">ՔԱՆԱԿՈՒԹՅԱՆ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>
          <w:b w:val="1"/>
          <w:bCs w:val="1"/>
        </w:rPr>
        <w:t xml:space="preserve">)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Հացահատիկի, հացամթերքների և խոտաբույսերի սերմերի պահպանման ժամանակ առաջացող բնական կորուստների չափերը ներկայացվում են Աղյուսակ N 5-ով:</w:t>
      </w:r>
    </w:p>
    <w:p>
      <w:pPr>
        <w:numPr>
          <w:ilvl w:val="0"/>
          <w:numId w:val="11"/>
        </w:numPr>
      </w:pPr>
      <w:r>
        <w:rPr/>
        <w:t xml:space="preserve">Բնական կորստի նշված նորմերը կիրառվում են որպես հսկիչ և սահմանային նորմեր այն դեպքերում, երբ հացահատիկի, դրա վերամշակումից հետո ստացվելիք արդյունքների, յուղատու մշակաբույսերի, խոտաբույսերի և խոտաբույսերի, արհեստականորեն չորացրած, ձեռնարկություններում պահվող կերերի փաստացի առկայության գույքագրման կամ ստուգման ժամանակ կսահմանվի դրանց քաշի նվազեցում, որը չի առաջանա որակի փոփոխությամբ:</w:t>
      </w:r>
    </w:p>
    <w:p>
      <w:pPr>
        <w:numPr>
          <w:ilvl w:val="0"/>
          <w:numId w:val="11"/>
        </w:numPr>
      </w:pPr>
      <w:r>
        <w:rPr/>
        <w:t xml:space="preserve">Մինչև երեք ամիս հացահատիկի և այլ յուղատու մշակաբույսերի սերմերի պահպանման դեպքում բնական կորստի նորմերը կիրառվում են պահպանման օրերի փաստացի քանակի հաշվարկով, իսկ մինչև վեց ամիս և մինչև մեկ տարի պահելու դեպքում' պահպանման ամիսների փաստացի թվի հաշվարկով:</w:t>
      </w:r>
    </w:p>
    <w:p>
      <w:pPr>
        <w:numPr>
          <w:ilvl w:val="0"/>
          <w:numId w:val="11"/>
        </w:numPr>
      </w:pPr>
      <w:r>
        <w:rPr/>
        <w:t xml:space="preserve">Մեկ տարուց ավելի հացահատիկային, դրա վերամշակումից հետո ստացվելիք արդյունքների և յուղատու մշակաբույսերի սերմերի պահպանման ժամանակ բնական կորստի նորման պահպանելու յուրաքանչյուր հաջորդ տարվա համար կիրառվում է 0,04% - ի չափով վերահաշվարկ՝ ելնելով պահպանման ամիսների փաստացի թվից:</w:t>
      </w:r>
    </w:p>
    <w:p>
      <w:pPr>
        <w:numPr>
          <w:ilvl w:val="0"/>
          <w:numId w:val="11"/>
        </w:numPr>
      </w:pPr>
      <w:r>
        <w:rPr/>
        <w:t xml:space="preserve">Հացահատիկի կորուստի նորմը սահմանվում է խառնուրդի մեջ պարունակվող հիմնական մշակույթով:</w:t>
      </w:r>
    </w:p>
    <w:p>
      <w:pPr>
        <w:numPr>
          <w:ilvl w:val="0"/>
          <w:numId w:val="11"/>
        </w:numPr>
      </w:pPr>
      <w:r>
        <w:rPr/>
        <w:t xml:space="preserve">Արտադրանքի պահպանման ժամանակ բնական կորստի նշված նորմերը չեն տարածվում ցորենի, լոբազգիների, յուղատու մշակաբույսերի և եգիպտացորենի ալյուրի, ձավարեղենի և սերմերի վրա, որոնք ընդունվում և բաց են թողնվում պարկերի ստանդարտ կշռով:</w:t>
      </w:r>
    </w:p>
    <w:p>
      <w:pPr>
        <w:numPr>
          <w:ilvl w:val="0"/>
          <w:numId w:val="11"/>
        </w:numPr>
      </w:pPr>
      <w:r>
        <w:rPr/>
        <w:t xml:space="preserve">Էլեկտրամագնիսական մեքենաներով մաքրման ենթարկված խոտաբույսերի սերմերի բնական նվազման նորմերն ավելանում են 15 տոկոսով:</w:t>
      </w:r>
    </w:p>
    <w:p>
      <w:pPr/>
      <w:r>
        <w:rPr/>
        <w:t xml:space="preserve">Աղյուսակ N 5</w:t>
      </w:r>
    </w:p>
    <w:p>
      <w:pPr/>
      <w:r>
        <w:rPr/>
        <w:t xml:space="preserve">(տոկոսներով քանակության նկատմամբ)</w:t>
      </w:r>
    </w:p>
    <w:p>
      <w:pPr/>
      <w:r>
        <w:rPr/>
        <w:t xml:space="preserve"> </w:t>
      </w:r>
    </w:p>
    <w:tbl>
      <w:tblGrid>
        <w:gridCol w:w="2550" w:type="dxa"/>
        <w:gridCol w:w="1470" w:type="dxa"/>
        <w:gridCol w:w="1650" w:type="dxa"/>
        <w:gridCol w:w="1980" w:type="dxa"/>
        <w:gridCol w:w="1935" w:type="dxa"/>
      </w:tblGrid>
      <w:tblPr>
        <w:tblW w:w="9585" w:type="dxa"/>
        <w:tblLayout w:type="autofit"/>
      </w:tblPr>
      <w:tr>
        <w:trPr/>
        <w:tc>
          <w:tcPr>
            <w:tcW w:w="2550" w:type="dxa"/>
            <w:noWrap/>
          </w:tcPr>
          <w:p>
            <w:pPr/>
            <w:r>
              <w:rPr>
                <w:b w:val="1"/>
                <w:bCs w:val="1"/>
              </w:rPr>
              <w:t xml:space="preserve">Անվանումը</w:t>
            </w:r>
          </w:p>
        </w:tc>
        <w:tc>
          <w:tcPr>
            <w:tcW w:w="1470" w:type="dxa"/>
            <w:noWrap/>
          </w:tcPr>
          <w:p>
            <w:pPr/>
            <w:r>
              <w:rPr>
                <w:b w:val="1"/>
                <w:bCs w:val="1"/>
              </w:rPr>
              <w:t xml:space="preserve">Պահման ժամկետը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ամիս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36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Պահեստում 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Էլևատորում</w:t>
            </w:r>
          </w:p>
        </w:tc>
      </w:tr>
      <w:tr>
        <w:trPr/>
        <w:tc>
          <w:tcPr>
            <w:tcW w:w="1650" w:type="dxa"/>
            <w:noWrap/>
          </w:tcPr>
          <w:p>
            <w:pPr/>
            <w:r>
              <w:rPr>
                <w:b w:val="1"/>
                <w:bCs w:val="1"/>
              </w:rPr>
              <w:t xml:space="preserve">Լցված</w:t>
            </w:r>
          </w:p>
        </w:tc>
        <w:tc>
          <w:tcPr>
            <w:tcW w:w="1980" w:type="dxa"/>
            <w:noWrap/>
          </w:tcPr>
          <w:p>
            <w:pPr/>
            <w:r>
              <w:rPr>
                <w:b w:val="1"/>
                <w:bCs w:val="1"/>
              </w:rPr>
              <w:t xml:space="preserve">Տարայավոր</w:t>
            </w:r>
          </w:p>
          <w:p>
            <w:pPr/>
            <w:r>
              <w:rPr>
                <w:b w:val="1"/>
                <w:bCs w:val="1"/>
              </w:rPr>
              <w:t xml:space="preserve">ված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Ցորեն, գարի, հաճար, տարեկան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0,045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0,048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0,099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0,069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0,060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0.129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0,105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0.108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Վարսակ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0,099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0,057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0.06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0,141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0,081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0,072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0,189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0,105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0,120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Եգիպտացորենի հատիկ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0,147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0,093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0,189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0,117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0,243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0,153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Եգիպտացորենի կողրեր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0,291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0,351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0,531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—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Բրինձ-հացահատիկ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0.087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0,057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0.060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0,117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0,081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0,085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0,126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0,165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0,126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Հնդկացորեն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0,087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0,057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0,123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0,081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0,165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0,117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Կորեկ, չումիզա, սորգո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0,123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0,069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0,171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0,093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0,219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0,117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Ոլոռ, ոսպ, լոբի, վիկա, սոյա, ունդ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0.075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0,045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0,098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0,068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0,129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0,123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Արևածաղկի սերմեր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0.231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0,141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0,291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0,177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0,351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0,237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2550" w:type="dxa"/>
            <w:noWrap/>
          </w:tcPr>
          <w:p>
            <w:pPr/>
            <w:r>
              <w:rPr/>
              <w:t xml:space="preserve">Այլ յուղատու մշակաբույսեր</w:t>
            </w:r>
          </w:p>
          <w:p>
            <w:pPr/>
            <w:r>
              <w:rPr/>
              <w:t xml:space="preserve">(գետնանուշ, քունջութ, կտավատ և այլ)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0,120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0,096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0,156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0,132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0,204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0,168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—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7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3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3E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046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17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E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D9C80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ECA6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F9872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44FB1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F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236692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2026-04-03T18:28:23+04:00</dcterms:created>
  <dcterms:modified xsi:type="dcterms:W3CDTF">2026-04-03T18:28:23+04:00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