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հուլիսի 6-ի N773-Ն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N773-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34-րդ հոդվածի 1-ին մասը և Հայաստանի Հանրապետության հարկային օրենսգրքի 394-րդ հոդվածի 7-րդ և 8-րդ մասերը՝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1. Հայաստանի Հանրապետության կառավարության 2017 թվականի հուլիսի 6-ի «Ապրանքների դրոշմավորման կանոնները սահմանելու մասին» N773-Ն որոշման (այսուհետ՝ Որոշում) մեջ կատարել հետևյալ լրացումները՝</w:t>
      </w:r>
    </w:p>
    <w:p>
      <w:pPr>
        <w:jc w:val="both"/>
      </w:pPr>
      <w:r>
        <w:rPr/>
        <w:t xml:space="preserve">1) Որոշման հավելվածի 4-րդ կետը «տարողությանը (ծավալին, քաշին կամ տվյալ ապրանքատեսակին բնորոշ չափման այլ միավորին)» բառերից հետո լրացնել «, իսկ ԱՏԳ ԱԱ 3004 ծածկագրին դասվող ապրանքների (բացառությամբ Հայաստանի Հանրապետությունում արտադրվող ապրանքների) դեպքում` նաև ներմուծման (համապատասխանության) հավաստագրի համարին և դրանում դեղի հերթական համարին» բառերով,</w:t>
      </w:r>
      <w:br/>
      <w:r>
        <w:rPr/>
        <w:t xml:space="preserve">2) Որոշման հավելվածի 8-րդ կետը «տարողությանը (ծավալին, քաշին կամ տվյալ ապրանքատեսակին բնորոշ չափման այլ միավորին)» բառերից հետո լրացնել «, իսկ ԱՏԳ ԱԱ 3004 ծածկագրին դասվող ապրանքների (բացառությամբ Հայաստանի Հանրապետությունում արտադրվող ապրանքների) դեպքում` նաև ներմուծման (համապատասխանության) հավաստագրի համարին և դրանում դեղի հերթական համարին» բառերով։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2026-03-31T21:20:21+04:00</dcterms:created>
  <dcterms:modified xsi:type="dcterms:W3CDTF">2026-03-31T21:20:21+04:00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