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«Ավտոմոբիլային տրանսպորտի մասին» Հայաստանի Հանրապետության օրենքում  լրացումներ կատարելու մասին» ՀՀ օրենքի նախագիծ</w:t>
      </w:r>
      <w:bookmarkEnd w:id="0"/>
    </w:p>
    <w:p>
      <w:pPr/>
      <w:r>
        <w:rPr>
          <w:b w:val="1"/>
          <w:bCs w:val="1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ԱՎՏՈՄՈԲԻԼԱՅԻՆ</w:t>
      </w:r>
      <w:r>
        <w:rPr/>
        <w:t xml:space="preserve"> </w:t>
      </w:r>
      <w:r>
        <w:rPr>
          <w:b w:val="1"/>
          <w:bCs w:val="1"/>
        </w:rPr>
        <w:t xml:space="preserve">ՏՐԱՆՍՊՈՐՏԻ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  ՀԱՆՐԱՊԵՏՈՒԹՅԱՆ  ՕՐԵՆՔՈՒՄ 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/>
        <w:t xml:space="preserve">. «Ավտոմոբիլային տրանսպորտի մասին» Հայաստանի Հանրապետության 2006 թվականի դեկտեմբերի 5-ի ՀՕ-233-Ն օրենքի (այսուհետ օրենք) 7-րդ հոդվածում լրացնել նոր 4-րդ, 5-րդ, 6-րդ, 7-րդ և 8-րդ մասեր հետևյալ բովանդակությամբ.</w:t>
      </w:r>
    </w:p>
    <w:p>
      <w:pPr/>
      <w:r>
        <w:rPr/>
        <w:t xml:space="preserve">«4. Ավտոբուսներով (միկրոավտոբուսներով) և թույլատրելի առավելագույն 3,5 տոննա քաշը գերազանցող բեռնատար ավտոտրանսպորտային միջոցներով միջպետական փոխադրումներ (բացառությամբ ոչ առևտրային փոխադրումներ) իրականացնող կազմակերպությունները պետք է ունենան գործարար բարի համբավ, ֆինանսական անհրաժեշտ միջոցներ և մասնագիտական որակավորում։</w:t>
      </w:r>
    </w:p>
    <w:p>
      <w:pPr>
        <w:numPr>
          <w:ilvl w:val="0"/>
          <w:numId w:val="2"/>
        </w:numPr>
      </w:pPr>
      <w:r>
        <w:rPr/>
        <w:t xml:space="preserve">Լիազոր մարմինը միջպետական փոխադրումներ իրականացնելու բոլոր տեսակի իրավունքները տրվում են միայն այն կազմակերպություններին, որոնց վերաբերյալ անհրաժեշտ տվյալներն առկա են լիազոր մարմնի միջպետական փոխադրումներ իրականացնող կազմակերպությունների էլեկտրոնային գրանցամատյանում: Էլեկտրոնային գրանցամատյանում հաշվառվելու համար կազմակերպությունները լիազոր մարմնին ներկայացնում են բանկային տեղեկանք առնվազն 9000 եվրոյին համարժեք դրամ մեկ տրանսպորտային միջոցի դեպքում և առնվազն 5000 եվրոյին համարժեք դրամ՝ յուրաքանչյուր լրացուցիչ տրանսպորտային միջոցի համար, կամ բանկային երաշխիք սահմանված գումարի չափով, ինչպես նաև փոխադրումների կառավարչի մասնագիտական որակավորման վերաբերյալ տեղեկատվություն։</w:t>
      </w:r>
    </w:p>
    <w:p>
      <w:pPr>
        <w:numPr>
          <w:ilvl w:val="0"/>
          <w:numId w:val="2"/>
        </w:numPr>
      </w:pPr>
      <w:r>
        <w:rPr/>
        <w:t xml:space="preserve">Կազմակերպությունը պետք է ունենա մասնագիտական որակավորման վկայական ունեցող փոխադրումների կառավարիչ: Մինչև 2021 թվականի հունվարի 1-ը ավտոմոբիլային տրանսպորտով ուղևորափոխադրումներ կամ բեռնափոխադրումներ իրականացնող կազմակերպություններում անընդմեջ 10 տարվա կառավարման ստաժ ունեցող անձինք ազատվում են որակավորման քննություն հանձնելուց: Մասնագիտական որակավորման քննություններ ընդունելու և մասնագիտական որակավորման վկայական տալու կարգը, մասնագիտական որակավորման վկայականի նկարագիրը հաստատում է Հայաստանի Հանրապետության կառավարությունը:</w:t>
      </w:r>
    </w:p>
    <w:p>
      <w:pPr>
        <w:numPr>
          <w:ilvl w:val="0"/>
          <w:numId w:val="2"/>
        </w:numPr>
      </w:pPr>
      <w:r>
        <w:rPr/>
        <w:t xml:space="preserve">7. Կազմակերպության և փոխադրումների կառավարչի բարի համբավի կորստի հիմնական գործոններ են հանդիսանում խախտումներն ու պատժամիջոցները հետևյալ ոլորտներում՝</w:t>
      </w:r>
    </w:p>
    <w:p>
      <w:pPr/>
      <w:r>
        <w:rPr/>
        <w:t xml:space="preserve">1) առևտրային իրավունք.</w:t>
      </w:r>
    </w:p>
    <w:p>
      <w:pPr/>
      <w:r>
        <w:rPr/>
        <w:t xml:space="preserve">2) անվճարունակության իրավունք.</w:t>
      </w:r>
    </w:p>
    <w:p>
      <w:pPr/>
      <w:r>
        <w:rPr/>
        <w:t xml:space="preserve">3) վճարման և մասնագիտական աշխատանքի հետ կապված պայմաններ.</w:t>
      </w:r>
    </w:p>
    <w:p>
      <w:pPr/>
      <w:r>
        <w:rPr/>
        <w:t xml:space="preserve">4) ճանապարհային երթևեկություն.</w:t>
      </w:r>
    </w:p>
    <w:p>
      <w:pPr/>
      <w:r>
        <w:rPr/>
        <w:t xml:space="preserve">5) մասնագիտական պատասխանատվություն.</w:t>
      </w:r>
    </w:p>
    <w:p>
      <w:pPr/>
      <w:r>
        <w:rPr/>
        <w:t xml:space="preserve">6) մարդկանց կամ թմրանյութերի առևտուր.</w:t>
      </w:r>
    </w:p>
    <w:p>
      <w:pPr/>
      <w:r>
        <w:rPr/>
        <w:t xml:space="preserve">7) թվային տախոգրաֆի համակարգ.</w:t>
      </w:r>
    </w:p>
    <w:p>
      <w:pPr/>
      <w:r>
        <w:rPr/>
        <w:t xml:space="preserve">8) փոխադրումներին ներկայացվող  պահանջներ:</w:t>
      </w:r>
    </w:p>
    <w:p>
      <w:pPr>
        <w:numPr>
          <w:ilvl w:val="0"/>
          <w:numId w:val="3"/>
        </w:numPr>
      </w:pPr>
      <w:r>
        <w:rPr/>
        <w:t xml:space="preserve">8. Սույն հոդվածի 7-րդ մասում նշված խախտումների տեսակների ցանկը հաստատում է Հայաստանի Հանրապետության կառավարությունը:</w:t>
      </w:r>
    </w:p>
    <w:p>
      <w:pPr/>
      <w:r>
        <w:rPr/>
        <w:t xml:space="preserve">9.Կազմակերպությունները գործարար բարի համբավի, ֆինանսական անհրաժեշտ միջոցների և մասնագիտական որակավորման տվյալների փոփոխության դեպքում տեղեկացնում են լիազոր մարմնին:»: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28-րդ հոդվածում լրացել նոր 4-րդ մաս հետևյալ բովանդակությամբ.</w:t>
      </w:r>
    </w:p>
    <w:p>
      <w:pPr/>
      <w:r>
        <w:rPr/>
        <w:t xml:space="preserve">«4. Ընդհանուր օգտագործման ավտոմոբիլային տրանսպորտով փոխադրումներ իրականացնող «C», «D», «CE», «DE», «C1E» և «D1E» կարգ ունեցող վարորդները պետք է հանձնեն նախնական մասնագիտական որակավորման տեսական քննություն և ստանան մասնագիտական որակավորման վկայագիր (ՄՈՎ): ՄՈՎ ունեցող վարորդներն առնվազն հինգ տարին մեկ պարբերականությամբ պետք է անցնեն մասնագիտական վերապատրաստման դասընթաց, որի վերաբերյալ պետք է նշում կատարվի վարորդի մասնագիտական որակավորման քարտի վրա: Առաջին վերապատրաստման դասընթացը վարորդը պետք է անցնի ոչ շուտ, քան ՄՈՎ-ը ստանալուց հինգ տարի հետո: Մասնագիտական վերապատրաստման գործընթացին և վարորդի որակավորման քարտին ներկայացվող պահանջները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վեցերորդ ամսվա առաջին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6D1BE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88DBF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2026-04-04T09:21:12+04:00</dcterms:created>
  <dcterms:modified xsi:type="dcterms:W3CDTF">2026-04-04T09:21:12+04:00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