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««ԼԻՑԵՆԶԱՎՈՐՄԱՆ ՄԱՍԻՆ» ՀԱՅԱՍՏԱՆԻ ՀԱՆՐԱՊԵՏՈՒԹՅԱՆ ՕՐԵՆՔՈՒՄ ՓՈՓՈԽՈՒԹՅՈՒՆ ԵՎ ԼՐԱՑՈՒՄՆԵՐ ԿԱՏԱՐԵԼՈՒ ՄԱՍԻՆ»</w:t>
      </w:r>
      <w:bookmarkEnd w:id="0"/>
    </w:p>
    <w:p>
      <w:pPr>
        <w:pStyle w:val="Heading2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««ԼԻՑԵՆԶԱՎՈՐՄԱՆ ՄԱՍԻՆ» ՀԱՅԱՍՏԱՆԻ ՀԱՆՐԱՊԵՏՈՒԹՅԱՆ ՕՐԵՆՔՈՒՄ ՓՈՓՈԽՈՒԹՅՈՒՆ ԵՎ ԼՐԱՑՈՒՄՆԵՐ ԿԱՏԱՐԵԼՈՒ ՄԱՍԻՆ»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1. </w:t>
      </w:r>
      <w:r>
        <w:rPr/>
        <w:t xml:space="preserve">«Լիցենզավորման մասին» 2001 թվականի մայիսի 30-ի ՀՕ-193 օրենքի (այսուհետ` Օրենք) 26-րդ հոդվածի 3-րդ մասը լրացնել «Քաղաքաշինության բանագավառի գործունեություն իրականացնելու համար լիցենզիաները տրվում են հինգ տարի ժամկետով, իսկ տրամադրված լիցենզիաների ժամկետը երկարաձգվում է հինգ տարի ժամկետով:»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 Հոդված 2. </w:t>
      </w:r>
      <w:r>
        <w:rPr/>
        <w:t xml:space="preserve">Օրենքի 43-րդ հոդվածի 2-րդ մասի աղյուսակի 17-րդ կետը լրացնել հետևյալ ենթակետերով. «</w:t>
      </w:r>
    </w:p>
    <w:tbl>
      <w:tblGrid>
        <w:gridCol w:w="375" w:type="dxa"/>
        <w:gridCol w:w="4320" w:type="dxa"/>
        <w:gridCol w:w="1005" w:type="dxa"/>
        <w:gridCol w:w="675" w:type="dxa"/>
        <w:gridCol w:w="630" w:type="dxa"/>
        <w:gridCol w:w="720" w:type="dxa"/>
        <w:gridCol w:w="630" w:type="dxa"/>
        <w:gridCol w:w="720" w:type="dxa"/>
        <w:gridCol w:w="720" w:type="dxa"/>
        <w:gridCol w:w="690" w:type="dxa"/>
      </w:tblGrid>
      <w:tblPr>
        <w:tblW w:w="10470" w:type="dxa"/>
        <w:tblLayout w:type="autofit"/>
      </w:tblPr>
      <w:tr>
        <w:trPr/>
        <w:tc>
          <w:tcPr>
            <w:tcW w:w="37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Քաղաքաշինական փաստաթղթերի կազմում (I կատեգորիա)       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Քաղաքաշինական փաստաթղթերի կազմում (I-II կատեգորիա)       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Քաղաքաշինական փաստաթղթերի կազմում (I-III կատեգորիա)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Քաղաքաշինական փաստաթղթերի կազմում (I-IV կատեգորիա)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Քաղաքաշինական փաստաթղթերի կազմում (I-V կատեգորիա)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Քաղաքաշինական փաստաթղթերի փորձաքննություն  (I- III կատեգորիա)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Քաղաքաշինական փաստաթղթերի փորձաքննություն  (IV-V կատեգորիա)           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Շինարարության իրականացում                       (I կատեգորիա)                 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15.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Շինարարության իրականացում                       (I-II կատեգորիա)       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16.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Շինարարության իրականացում                       (I-III կատեգորիա)             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17.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Շինարարության իրականացում                       (I-IV կատեգորիա)              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18.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Շինարարության իրականացում                       (I-V կատեգորիա)           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19.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Ինժեներական ծառայությունների մատուցում (I կատեգորիա)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20.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Ինժեներական ծառայությունների մատուցում (I-II կատեգորիա)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21.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Ինժեներական ծառայությունների մատուցում (I-III կատեգորիա)             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22.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Ինժեներական ծառայությունների մատուցում (I-IV կատեգորիա)                              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23.</w:t>
            </w:r>
          </w:p>
        </w:tc>
        <w:tc>
          <w:tcPr>
            <w:tcW w:w="4320" w:type="dxa"/>
            <w:noWrap/>
          </w:tcPr>
          <w:p>
            <w:pPr/>
            <w:r>
              <w:rPr/>
              <w:t xml:space="preserve">Ինժեներական ծառայությունների մատուցում (I-V կատեգորիա)           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Ո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 :</w:t>
      </w:r>
    </w:p>
    <w:p>
      <w:pPr/>
      <w:r>
        <w:rPr>
          <w:b w:val="1"/>
          <w:bCs w:val="1"/>
        </w:rPr>
        <w:t xml:space="preserve"> Հոդված 3.</w:t>
      </w:r>
      <w:r>
        <w:rPr/>
        <w:t xml:space="preserve">  Ուժը կորցրած ճանաչել Օրենքի 43-րդ հոդվածի 2-րդ մասի աղյուսակի 17-րդ կետի 1., 2., 3., 4., 5., 6. ենթակետերը: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  </w:t>
      </w:r>
      <w:r>
        <w:rPr/>
        <w:t xml:space="preserve">Սույն օրենքն ուժի մեջ է մտնում պաշտոնական հրապարակումից վեց ամիս հետո: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 </w:t>
      </w:r>
      <w:r>
        <w:rPr>
          <w:b w:val="1"/>
          <w:bCs w:val="1"/>
        </w:rPr>
        <w:t xml:space="preserve">Անցումային դրույթներ</w:t>
      </w:r>
    </w:p>
    <w:p>
      <w:pPr/>
      <w:r>
        <w:rPr/>
        <w:t xml:space="preserve">1. Մինչ սույն օրենքի ուժի մեջ մտնելը քաղաքաշինության բնագավառում տրված լիցենզիաների գործողությունը դադարում է սույն օրենքն ուժի մեջ մտնելուց մեկ տարի հետո՝ բացառությամբ սույն հոդվածի 2-րդ կետով նախատեսված դեպքերի:</w:t>
      </w:r>
    </w:p>
    <w:p>
      <w:pPr/>
      <w:r>
        <w:rPr/>
        <w:t xml:space="preserve">2. Սույն օրենքն ուժի մեջ մտնելուց հետո քաղաքաշինության բնագավառում պայմանագրային պարտավորություններ ստանձնած լիցենզավորված անձանց լիցենզիաների գործողությունը դադարում է համապատասխան պայմանագրերով ամրագրված պարտավորությունները և պարտականությունները ավարտելուց կամ դադարելուց մեկ օր հետո: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ՏՈՒՐՔԻ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«Պետական տուրքի մասին» 1997 թվականի դեկտեմբերի 27-ի ՀՕ-186 օրենքի (այսուհետ` Օրենք) 19-րդ հոդվածի 16-րդ մասը լրացնել հետևյալ կետերով.</w:t>
      </w:r>
    </w:p>
    <w:p>
      <w:pPr/>
      <w:r>
        <w:rPr/>
        <w:t xml:space="preserve"> </w:t>
      </w:r>
    </w:p>
    <w:tbl>
      <w:tblGrid>
        <w:gridCol w:w="400" w:type="dxa"/>
        <w:gridCol w:w="3100" w:type="dxa"/>
        <w:gridCol w:w="1450" w:type="dxa"/>
      </w:tblGrid>
      <w:tblPr>
        <w:tblW w:w="4850" w:type="pct"/>
        <w:tblLayout w:type="autofit"/>
      </w:tblPr>
      <w:tr>
        <w:trPr/>
        <w:tc>
          <w:tcPr>
            <w:tcW w:w="400" w:type="pct"/>
            <w:noWrap/>
          </w:tcPr>
          <w:p>
            <w:pPr/>
            <w:r>
              <w:rPr/>
              <w:t xml:space="preserve">«16.6.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Քաղաքաշինական փաստաթղթերի կազմման (I-II կատեգորիա) լիցենզիայի համար` տարեկան                             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40-ապատիկի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16.7.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Քաղաքաշինական փաստաթղթերի կազմման (I-III կատեգորիա) լիցենզիայի համար` տարեկան                             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80-ապատիկի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16.8.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Քաղաքաշինական փաստաթղթերի կազմման (I-IV կատեգորիա) լիցենզիայի համար` տարեկան                             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160-ապատիկի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16.9.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Քաղաքաշինական փաստաթղթերի կազմման (I-V կատեգորիա) լիցենզիայի համար` տարեկան                             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320-ապատիկի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16.10.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Քաղաքաշինական փաստաթղթերի փորձաքննության  (I-III կատեգորիա)  լիցենզիայի համար` տարեկան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120-ապատիկի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16.11.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Քաղաքաշինական փաստաթղթերի փորձաքննության  (IV-V կատեգորիա) լիցենզիայի համար` տարեկան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240-ապատիկի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16.12.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Շինարարության իրականացման (I-II կատեգորիա) լիցենզիայի համար` տարեկան                             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80-ապատիկի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16.13.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Շինարարության իրականացման (I-III կատեգորիա) լիցենզիայի համար` տարեկան                                           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160-ապատիկի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16.14.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Շինարարության իրականացման (I-IV կատեգորիա) լիցենզիայի համար` տարեկան                                           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240-ապատիկի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16.15.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Շինարարության իրականացման (I-V կատեգորիա) լիցենզիայի համար` տարեկան                                           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320-ապատիկի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16.16.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Ինժեներական ծառայությունների մատուցում (I-II կատեգորիա) լիցենզիայի համար` տարեկան                             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60-ապատիկի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16.17.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Ինժեներական ծառայությունների մատուցում (I-III կատեգորիա) լիցենզիայի համար` տարեկան                                           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120-ապատիկի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16.18.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Ինժեներական ծառայությունների մատուցում (I-IV կատեգորիա) լիցենզիայի համար` տարեկան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180-ապատիկի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16.19.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Ինժեներական ծառայությունների մատուցում ( I-V կատեգորիա) լիցենզիայի համար` տարեկան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240-ապատիկի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16.20.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Քաղաքաշինության բնագավառի գործունեության տեսակի լիցենզիայի վերաձևակերպման համար՝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10-ապատիկի չափով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16.21.</w:t>
            </w:r>
          </w:p>
        </w:tc>
        <w:tc>
          <w:tcPr>
            <w:tcW w:w="3100" w:type="pct"/>
            <w:noWrap/>
          </w:tcPr>
          <w:p>
            <w:pPr/>
            <w:r>
              <w:rPr/>
              <w:t xml:space="preserve">Քաղաքաշինության բնագավառի գործունեության տեսակի լիցենզիայի կրկնօրինակի տրամադրման համար՝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10-ապատիկի չափով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 </w:t>
      </w:r>
      <w:r>
        <w:rPr/>
        <w:t xml:space="preserve">Ուժը կորցրած ճանաչել Օրենքի 16-րդ մասի 16.1-րդ, 16.1.1-րդ, 16.2-րդ, 16.3-րդ, 16.4-րդ և 16.5-րդ կետերը:</w:t>
      </w:r>
    </w:p>
    <w:p>
      <w:pPr/>
      <w:r>
        <w:rPr>
          <w:b w:val="1"/>
          <w:bCs w:val="1"/>
        </w:rPr>
        <w:t xml:space="preserve">      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. Սույն Օրենքն ուժի մեջ է մտնում պաշտոնական հրապարակումից վեց ամիս հետո:</w:t>
      </w:r>
    </w:p>
    <w:p>
      <w:pPr/>
      <w:r>
        <w:rPr/>
        <w:t xml:space="preserve"> </w:t>
      </w:r>
    </w:p>
    <w:p>
      <w:pPr/>
      <w:r>
        <w:rPr/>
        <w:t xml:space="preserve">  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/>
        <w:t xml:space="preserve">«</w:t>
      </w:r>
      <w:r>
        <w:rPr>
          <w:b w:val="1"/>
          <w:bCs w:val="1"/>
        </w:rPr>
        <w:t xml:space="preserve">ՔԱՂԱՔԱՇԻՆՈՒԹՅԱՆ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  1.</w:t>
      </w:r>
      <w:r>
        <w:rPr/>
        <w:t xml:space="preserve"> «Քաղաքաշինության մասին» 1998 թվականի մայիսի 5-ի ՀՕ-217 օրենքի (այսուհետ՝ Օրենք) 3-րդ հոդվածը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     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3.   </w:t>
      </w:r>
      <w:r>
        <w:rPr>
          <w:b w:val="1"/>
          <w:bCs w:val="1"/>
        </w:rPr>
        <w:t xml:space="preserve">Քաղաքաշինական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օբյեկտները</w:t>
      </w:r>
    </w:p>
    <w:p>
      <w:pPr/>
      <w:r>
        <w:rPr/>
        <w:t xml:space="preserve">1. Քաղաքաշինական գործունեության օբյեկտներ են`</w:t>
      </w:r>
    </w:p>
    <w:p>
      <w:pPr/>
      <w:r>
        <w:rPr/>
        <w:t xml:space="preserve">1) Հայաստանի Հանրապետության տարածքը, վարչատարածքային միավորների տարածքները, դրանց առանձին խմբերը, հատվածները, հողակտորները,</w:t>
      </w:r>
    </w:p>
    <w:p>
      <w:pPr/>
      <w:r>
        <w:rPr/>
        <w:t xml:space="preserve">2) արդյունաբերական, ագրոարդյունաբերական, հիդրոտեխնիկական, էներգետիկ, գիտատեխնիկական համալիրները և հանգույցները.</w:t>
      </w:r>
    </w:p>
    <w:p>
      <w:pPr/>
      <w:r>
        <w:rPr/>
        <w:t xml:space="preserve">3) քաղաքաշինական, ճարտարապետական, լանդշաֆտային համալիրները, հանգստի և ժամանցի գոտիները, առողջավայրերը, ջրատարածքները, արգելոցները, հատուկ պահպանության գոտիները, դրանց համակարգերը և բաղկացուցիչ մասերը.</w:t>
      </w:r>
    </w:p>
    <w:p>
      <w:pPr/>
      <w:r>
        <w:rPr/>
        <w:t xml:space="preserve">4) շենքերը, շինությունները, պատմության և մշակույթի անշարժ հուշարձանները.</w:t>
      </w:r>
    </w:p>
    <w:p>
      <w:pPr/>
      <w:r>
        <w:rPr/>
        <w:t xml:space="preserve">5) ինժեներատրանսպորտային ենթակառուցվածքները.</w:t>
      </w:r>
    </w:p>
    <w:p>
      <w:pPr/>
      <w:r>
        <w:rPr/>
        <w:t xml:space="preserve">2. Քաղաքաշինական օբյեկտների սահմանները որոշվում և փոփոխվում են օրենքով և իրավական այլ ակտերով սահմանված կարգով:</w:t>
      </w:r>
    </w:p>
    <w:p>
      <w:pPr/>
      <w:r>
        <w:rPr/>
        <w:t xml:space="preserve">3. Քաղաքաշինական գործունեության օբյեկտներն ըստ բարդության և շինարարական միջամտության տեսակի դասակարգվում են ռիսկայնության աստիճանի հինգ կատեգորիաների:</w:t>
      </w:r>
    </w:p>
    <w:p>
      <w:pPr/>
      <w:r>
        <w:rPr/>
        <w:t xml:space="preserve">4. Ըստ ռիսկայնության աստիճանի դասակարգված քաղաքաշինական գործունեության օբյեկտների ցանկը հաստատում է Հայաստանի Հանրապետության կառավարությունը՝ քաղաքաշինության բնագավառի պետական կառավարման մարմնի ներկայացմամբ:</w:t>
      </w:r>
    </w:p>
    <w:p>
      <w:pPr/>
      <w:r>
        <w:rPr/>
        <w:t xml:space="preserve">5. Ըստ ռիսկայնության աստիճանի դասակարգված պաշտպանական նշանակության օբյեկտների ցանկը հաստատում է Հայաստանի Հանրապետության կառավարությունը՝ պաշտպանության բնագավառի պետական կառավարման մարմնի ներկայացմամբ»: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   2. </w:t>
      </w:r>
      <w:r>
        <w:rPr/>
        <w:t xml:space="preserve">Օրենքի 6-րդ հոդվածի 3-րդ մասի «ը» կետի </w:t>
      </w:r>
      <w:r>
        <w:rPr>
          <w:b w:val="1"/>
          <w:bCs w:val="1"/>
        </w:rPr>
        <w:t xml:space="preserve">«</w:t>
      </w:r>
      <w:r>
        <w:rPr/>
        <w:t xml:space="preserve">այլ բան նախատեսված չէ» բառերը փոխարինել </w:t>
      </w:r>
      <w:r>
        <w:rPr>
          <w:b w:val="1"/>
          <w:bCs w:val="1"/>
        </w:rPr>
        <w:t xml:space="preserve">«</w:t>
      </w:r>
      <w:r>
        <w:rPr/>
        <w:t xml:space="preserve">ամրագրված է նման պահանջ» բառերով, իսկ «թ» կետը շարադրել  հետևյալ խմբագրությամբ.</w:t>
      </w:r>
    </w:p>
    <w:p>
      <w:pPr/>
      <w:r>
        <w:rPr>
          <w:b w:val="1"/>
          <w:bCs w:val="1"/>
        </w:rPr>
        <w:t xml:space="preserve">«</w:t>
      </w:r>
      <w:r>
        <w:rPr/>
        <w:t xml:space="preserve">թ) սույն օրենքով սահմանված դեպքերում ապահովել շինարարության նկատմամբ հսկողությունը.»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  3.  </w:t>
      </w:r>
      <w:r>
        <w:rPr/>
        <w:t xml:space="preserve">Օրենքի 6-րդ հոդվածը լրացնել նոր մասով հետևյալ բովանդակությամբ.</w:t>
      </w:r>
    </w:p>
    <w:p>
      <w:pPr/>
      <w:r>
        <w:rPr/>
        <w:t xml:space="preserve">«Շինարարական աշխատանքների նկատմամբ հսկողության կարգը սահմանում է Հայաստանի Հանրապետության կառավարությունը:»: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 4.</w:t>
      </w:r>
      <w:r>
        <w:rPr/>
        <w:t xml:space="preserve"> Օրենքի 8-րդ հոդվածը շարադրել հետևյալ խմբագրությամբ.</w:t>
      </w:r>
    </w:p>
    <w:p>
      <w:pPr/>
      <w:r>
        <w:rPr/>
        <w:t xml:space="preserve">«1. Քաղաքաշինական փաստաթղթեր մշակողների հեղինակային իրավունքները սահմանվում են «Հեղինակային իրավունքի և հարակից իրավունքների մասին» Հայաստանի Հանրապետության օրենքով և իրավական այլ ակտերով:</w:t>
      </w:r>
    </w:p>
    <w:p>
      <w:pPr/>
      <w:r>
        <w:rPr/>
        <w:t xml:space="preserve">2. Քաղաքաշինական փաստաթղթեր մշակողները պարտավոր են կատարել քաղաքաշինական փաստաթղթերի մշակման առաջադրանքների և քաղաքաշինական նորմատիվ-տեխնիկական փաստաթղթերի պահանջները:</w:t>
      </w:r>
    </w:p>
    <w:p>
      <w:pPr/>
      <w:r>
        <w:rPr/>
        <w:t xml:space="preserve">3. Կառուցապատողի համաձայնությամբ և օրենքով սահմանված համապատասխան ինժեներական ծառայությունների մատուցման լիցենզիայի առկայության դեպքում կարող են իրականացնել շինարարական աշխատանքների նկատմամբ հսկողություն:»: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9-րդ հոդվածը լրացնել նոր 9.1 հոդվածով հետևյալ բովանդակությամբ.</w:t>
      </w:r>
    </w:p>
    <w:p>
      <w:pPr/>
      <w:r>
        <w:rPr>
          <w:b w:val="1"/>
          <w:bCs w:val="1"/>
        </w:rPr>
        <w:t xml:space="preserve">«9.1. Շինարարության նկատմամբ հսկողություն իրականացնողների իրավունքներն ու պարտականությունները</w:t>
      </w:r>
    </w:p>
    <w:p>
      <w:pPr/>
      <w:r>
        <w:rPr/>
        <w:t xml:space="preserve">1. Շինարարության նկատմամբ հսկողությունը քաղաքաշինական սուբյեկտի կողմից շինարարական աշխատանքների բոլոր փուլերում իրականցվող միջոցառումների համալիր է, որի նպատական է ստուգել շինարարական աշխատանքների համապատասխանությունը ճարտարապետաշինարարական նախագծերին և գործող նորմատիվ-տեխնիկական փաստաթղթերով սահմանված պահանջներին:</w:t>
      </w:r>
    </w:p>
    <w:p>
      <w:pPr/>
      <w:r>
        <w:rPr/>
        <w:t xml:space="preserve">2. Շինարարության նկատմամբ հսողություն, բացառությամբ հատուկ նշանակության հողերում, իրականացվում է քաղաքաշինության բնագավառում լիցենզավորված իրավաբանական անձանց կամ անհատ ձեռնարկատերերի միջոցով: Հատուկ նշանակության հողերում շինարարության նկատմամբ հսկողությունն իրականացվում է ՀՀ կառավարության կողմից սահմանված կարգով:</w:t>
      </w:r>
    </w:p>
    <w:p>
      <w:pPr/>
      <w:r>
        <w:rPr/>
        <w:t xml:space="preserve">3. Արգելվում է քաղաքաշինական գործունեության օբյեկտի շինարարության նկատմամբ հսկողության իրականացումը, եթե շինարարությունն իրականացվում է կառուցապատողի կողմից:</w:t>
      </w:r>
    </w:p>
    <w:p>
      <w:pPr/>
      <w:r>
        <w:rPr/>
        <w:t xml:space="preserve">4. Շինարարության նկատմամբ հսկողություն իրականացնող սուբյեկտները պարտավոր են՝</w:t>
      </w:r>
    </w:p>
    <w:p>
      <w:pPr/>
      <w:r>
        <w:rPr/>
        <w:t xml:space="preserve">1) ապահովել շինարարական աշխատանքների համապատասխանությունը ճարտարապետաշինարարական նախագծով տրված լուծումներին և պահանջներին.</w:t>
      </w:r>
    </w:p>
    <w:p>
      <w:pPr/>
      <w:r>
        <w:rPr/>
        <w:t xml:space="preserve">2) ապահովել շինարարական աշխատանքների իրականացումը նորմատիվ-տեխնիկական փաստաթղթերով սահմանված պահանջների կատարումը.</w:t>
      </w:r>
    </w:p>
    <w:p>
      <w:pPr/>
      <w:r>
        <w:rPr/>
        <w:t xml:space="preserve">3) քաղաքաշինական գործունեության օբյեկտի կայունությանը և հուսալիությանը սպառնացող թերությունների հայտնաբերման դեպքում, ինչպես նաև տեխնիկական վթարների դեպքում 24 ժամվա ընթացքում իրազեկել քաղաքաշինության բնագավառի պետական վերահսկողություն իրականացնող մարմնին.</w:t>
      </w:r>
    </w:p>
    <w:p>
      <w:pPr/>
      <w:r>
        <w:rPr/>
        <w:t xml:space="preserve">4) շինարարություն իրականացնող քաղաքաշինական գործունեության սուբյեկտին կամ սուբյեկտներին հայտնաբերված թերությունների և խախտումների վերաբերյալ տալ պարտադիր կատարման ենթակա ցուցումներ.</w:t>
      </w:r>
    </w:p>
    <w:p>
      <w:pPr/>
      <w:r>
        <w:rPr/>
        <w:t xml:space="preserve">5) պահպանել շինարարության նկատմամբ հսկողության իրականացման կարգով սահմանված պահանջները:</w:t>
      </w:r>
    </w:p>
    <w:p>
      <w:pPr/>
      <w:r>
        <w:rPr/>
        <w:t xml:space="preserve">5. Շինարարության նկատմամբ հսկողություն իրականացնող սուբյեկտներն իրավունք ունեն՝</w:t>
      </w:r>
    </w:p>
    <w:p>
      <w:pPr/>
      <w:r>
        <w:rPr/>
        <w:t xml:space="preserve">1) դադարեցնել շինարարական աշխատանքները, եթե առաջացել է տեխնիկական վթար կամ իր կողմից տրված ցուցումները չեն կատարվել ողջամիտ ժամկետում.</w:t>
      </w:r>
    </w:p>
    <w:p>
      <w:pPr/>
      <w:r>
        <w:rPr/>
        <w:t xml:space="preserve">2) հրաժարվել շինարարության նկատմամբ հսկողությունից, եթե կառուցապատողի կողմից տրվել են ցուցումներ կամ հանձնարարականներ, որոնք հակասում են նորմատիվ-տեխնիկական փաստաթղթերով սահմանված պահանջներին կամ ճարտարապետաշինարարական նախագծին:»: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  6. </w:t>
      </w:r>
      <w:r>
        <w:rPr/>
        <w:t xml:space="preserve">Օրենքի 21-րդ հոդվածը շարադրել հետևյալ խմբագրությամբ.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«Հոդված</w:t>
      </w:r>
      <w:r>
        <w:rPr>
          <w:b w:val="1"/>
          <w:bCs w:val="1"/>
        </w:rPr>
        <w:t xml:space="preserve"> 21. </w:t>
      </w:r>
      <w:r>
        <w:rPr>
          <w:b w:val="1"/>
          <w:bCs w:val="1"/>
        </w:rPr>
        <w:t xml:space="preserve">Քաղաքաշինության</w:t>
      </w:r>
      <w:r>
        <w:rPr/>
        <w:t xml:space="preserve"> </w:t>
      </w:r>
      <w:r>
        <w:rPr>
          <w:b w:val="1"/>
          <w:bCs w:val="1"/>
        </w:rPr>
        <w:t xml:space="preserve">բնագավառում</w:t>
      </w:r>
      <w:r>
        <w:rPr/>
        <w:t xml:space="preserve"> </w:t>
      </w:r>
      <w:r>
        <w:rPr>
          <w:b w:val="1"/>
          <w:bCs w:val="1"/>
        </w:rPr>
        <w:t xml:space="preserve">լիցենզավորումը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լիցենզավորման</w:t>
      </w:r>
      <w:r>
        <w:rPr/>
        <w:t xml:space="preserve"> </w:t>
      </w:r>
      <w:r>
        <w:rPr>
          <w:b w:val="1"/>
          <w:bCs w:val="1"/>
        </w:rPr>
        <w:t xml:space="preserve">ենթակա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տեսակները</w:t>
      </w:r>
    </w:p>
    <w:p>
      <w:pPr/>
      <w:r>
        <w:rPr/>
        <w:t xml:space="preserve">1. Քաղաքաշինության բնագավառում լիցենզավորումն իրականացվում է «Լիցենզավորման մասին» Հայաստանի Հանրապետության օրենքով սահմանված կարգով:</w:t>
      </w:r>
    </w:p>
    <w:p>
      <w:pPr/>
      <w:r>
        <w:rPr/>
        <w:t xml:space="preserve">2. Քաղաքաշինության բնագավառում լիցենզավորման ենթակա գործունեության տեսակներն են՝</w:t>
      </w:r>
    </w:p>
    <w:p>
      <w:pPr/>
      <w:r>
        <w:rPr/>
        <w:t xml:space="preserve">1) Քաղաքաշինական փաստաթղթերի կազմումը.</w:t>
      </w:r>
    </w:p>
    <w:p>
      <w:pPr/>
      <w:r>
        <w:rPr/>
        <w:t xml:space="preserve">2) Քաղաքաշինական փաստաթղթերի փորձաքննությունը.</w:t>
      </w:r>
    </w:p>
    <w:p>
      <w:pPr/>
      <w:r>
        <w:rPr/>
        <w:t xml:space="preserve">3) Շինարարության իրականացումը.</w:t>
      </w:r>
    </w:p>
    <w:p>
      <w:pPr/>
      <w:r>
        <w:rPr/>
        <w:t xml:space="preserve">4) Ինժեներական ծառայությունների մատուցումը:</w:t>
      </w:r>
    </w:p>
    <w:p>
      <w:pPr/>
      <w:r>
        <w:rPr/>
        <w:t xml:space="preserve">3. Քաղաքաշինության բնագավառում ինժեներական ծառայությունների մատուցումն իր մեջ ներառում է ինժեներական հետազննում, շենքերի և շինությունների տեխնիկական վիճակի հետազննություն և շինարարական աշխատանքների նկատմամբ հսկողություն:»:</w:t>
      </w:r>
    </w:p>
    <w:p>
      <w:pPr/>
      <w:r>
        <w:rPr/>
        <w:t xml:space="preserve">4. Քաղաքաշինության բնագավառում լիցենզա չպահանջող քաղաքաշինական փաստաթղթերի կազմման, քաղաքաշինական փաստաթղթերի փորձաքննության, շինարարության իրականացման և ինժեներական ծառայությունների մատուցման աշխատանքների ցանկը սահմանում է ՀՀ կառավարությունը: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 7.</w:t>
      </w:r>
      <w:r>
        <w:rPr/>
        <w:t xml:space="preserve"> Օրենքի 23-րդ հոդվածի 5-րդ մասը շարադրել հետևյալ խմբագրությամբ. «Քաղաքաշինության բնագավառում շինարարության թույլտվություն չպահանջող աշխատանքների ցանկը սահմանում է Հայաստանի Հանրապետության կառավարությունը:»: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 8.</w:t>
      </w:r>
      <w:r>
        <w:rPr/>
        <w:t xml:space="preserve"> Սույն օրենքն ուժի մեջ է մտնում պաշտոնական հրապարակմանը հաջորդող օրվանից վեց ամիս հետո: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  9. Անցումային դրույթներ</w:t>
      </w:r>
    </w:p>
    <w:p>
      <w:pPr/>
      <w:r>
        <w:rPr/>
        <w:t xml:space="preserve">1. Սույն օրենքի պաշտոնական հրապարակմանը հաջորդող հինգ ամսվա ընթացքում Հայաստանի Հանրապետության կառավարությունը հաստատում է.</w:t>
      </w:r>
    </w:p>
    <w:p>
      <w:pPr/>
      <w:r>
        <w:rPr/>
        <w:t xml:space="preserve">1) շինարարության նկատմամբ հսկողության կարգը,</w:t>
      </w:r>
    </w:p>
    <w:p>
      <w:pPr/>
      <w:r>
        <w:rPr/>
        <w:t xml:space="preserve">2) քաղաքաշինական փաստաթղթերի մշակման կարգը,</w:t>
      </w:r>
    </w:p>
    <w:p>
      <w:pPr/>
      <w:r>
        <w:rPr/>
        <w:t xml:space="preserve">3) շինարարության թույլտվություն չպահանջող աշխատանքների ցանկը,</w:t>
      </w:r>
    </w:p>
    <w:p>
      <w:pPr/>
      <w:r>
        <w:rPr/>
        <w:t xml:space="preserve">4) ըստ ռիսկայնության աստիճանի քաղաքաշինական օբյեկտների դասակարգման ցանկը,</w:t>
      </w:r>
    </w:p>
    <w:p>
      <w:pPr/>
      <w:r>
        <w:rPr/>
        <w:t xml:space="preserve">5) պաշտպանական նշանակության քաղաքաշինական օբյեկտների դասակարգման ցանկը: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2026-03-31T03:56:05+04:00</dcterms:created>
  <dcterms:modified xsi:type="dcterms:W3CDTF">2026-03-31T03:56:05+04:00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