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««ԲՅՈՒՋԵՏԱՅԻՆ ՀԱՄԱԿԱՐԳԻ ՄԱՍԻՆ» ՀԱՅԱՍՏԱՆԻ ՀԱՆՐԱՊԵՏՈՒԹՅԱՆ ՕՐԵՆՔՈՒՄ  ԼՐԱՑՈՒՄՆԵՐ ԿԱՏԱՐԵԼՈՒ ՄԱՍԻՆ» ԵՎ  ««ՏԵՂԱԿԱՆ ԻՆՔՆԱԿԱՌԱՎԱՐՄԱՆ ՄԱՍԻՆ» ՀԱՅԱՍՏԱՆԻ ՀԱՆՐԱՊԵՏՈՒԹՅԱՆ ՕՐԵՆՔՈՒՄ ԼՐԱՑՈՒՄ ԿԱՏԱՐԵԼՈՒ ՄԱՍԻՆ»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«ԲՅՈՒՋԵՏԱՅԻՆ ՀԱՄԱԿԱՐԳԻ ՄԱՍԻՆ» ՀԱՅԱՍՏԱՆԻ ՀԱՆՐԱՊԵՏՈՒԹՅԱՆ ՕՐԵՆՔՈՒՄ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 </w:t>
      </w:r>
      <w:r>
        <w:rPr/>
        <w:t xml:space="preserve">«Բյուջետային համակարգի մասին» 1997 թվականի հունիսի 24-ի ՀՕ-137 օրենքի (այսուհետ՝ Օրենք) 20-րդ հոդվածը լրացնել 5-րդ, 6-րդ, 7-րդ և 8-րդ մասերով՝ հետևյալ բովանդակությամբ ․</w:t>
      </w:r>
    </w:p>
    <w:p>
      <w:pPr/>
      <w:r>
        <w:rPr/>
        <w:t xml:space="preserve">«5․ Պետական բյուջեի ծախսերում նախատեսվում են նաև համայնքների բյուջեներին հատկացնել անվերադարձ կարգով տրվող մասհանումներ՝ յուրաքանչյուր ռոյալթի վճարողի կողմից օրենքով սահմանված չափով և կարգով յուրաքանչյուր հաշվետու տարում պետական բյուջե հաշվարկված ռոյալթիի չափի երկու տոկոսից (այսուհետ՝ համայնքային ռոյալթի)։ Սույն հոդվածի իմաստով ռոյալթի վճարող է համարվում Հայաստանի Հանրապետության հարկային </w:t>
      </w:r>
      <w:r>
        <w:rPr>
          <w:b w:val="1"/>
          <w:bCs w:val="1"/>
        </w:rPr>
        <w:t xml:space="preserve">օրենսգրքի 198-րդ հոդվածի 2-րդ մասի 1-ին և 2-րդ կետերով սահմանված ռոյալթի վճարողները</w:t>
      </w:r>
      <w:r>
        <w:rPr/>
        <w:t xml:space="preserve">։ </w:t>
      </w:r>
    </w:p>
    <w:p>
      <w:pPr/>
      <w:r>
        <w:rPr/>
        <w:t xml:space="preserve">6․ Համայնքային ռոյալթին բաշխվում է համայնքների բյուջեների երկաստիճան համակարգով՝ ըստ հետևյալ բանաձևերի․</w:t>
      </w:r>
    </w:p>
    <w:p>
      <w:pPr/>
      <w:r>
        <w:rPr/>
        <w:t xml:space="preserve"> </w:t>
      </w:r>
    </w:p>
    <w:p>
      <w:pPr/>
      <w:r>
        <w:rPr/>
        <w:t xml:space="preserve">Ռ</w:t>
      </w:r>
      <w:r>
        <w:rPr>
          <w:vertAlign w:val="superscript"/>
        </w:rPr>
        <w:t xml:space="preserve">ազդ.</w:t>
      </w:r>
      <w:r>
        <w:rPr/>
        <w:t xml:space="preserve">  = Ռ</w:t>
      </w:r>
      <w:r>
        <w:rPr>
          <w:vertAlign w:val="superscript"/>
        </w:rPr>
        <w:t xml:space="preserve">հ </w:t>
      </w:r>
      <w:r>
        <w:rPr/>
        <w:t xml:space="preserve">x 50%</w:t>
      </w:r>
    </w:p>
    <w:p>
      <w:pPr/>
      <w:r>
        <w:rPr/>
        <w:t xml:space="preserve">որտեղ՝</w:t>
      </w:r>
    </w:p>
    <w:p>
      <w:pPr/>
      <w:r>
        <w:rPr/>
        <w:t xml:space="preserve">Ռ</w:t>
      </w:r>
      <w:r>
        <w:rPr>
          <w:vertAlign w:val="superscript"/>
        </w:rPr>
        <w:t xml:space="preserve">ազդ.</w:t>
      </w:r>
      <w:r>
        <w:rPr/>
        <w:t xml:space="preserve"> – տվյալ ռոյալթի վճարողի կողմից շահագործվող հանք(եր)ի ազդակիր համայնք(ներ)ին հավասարապես բաշխման ենթակա ընդհանուր ռոյալթիի չափ</w:t>
      </w:r>
    </w:p>
    <w:p>
      <w:pPr/>
      <w:r>
        <w:rPr/>
        <w:t xml:space="preserve">Ռ</w:t>
      </w:r>
      <w:r>
        <w:rPr>
          <w:vertAlign w:val="superscript"/>
        </w:rPr>
        <w:t xml:space="preserve">հ </w:t>
      </w:r>
      <w:r>
        <w:rPr/>
        <w:t xml:space="preserve"> - համայնքային ռոյալթիի տոկոսային չափ (2%):</w:t>
      </w:r>
    </w:p>
    <w:p>
      <w:pPr/>
      <w:r>
        <w:rPr/>
        <w:t xml:space="preserve"> </w:t>
      </w:r>
    </w:p>
    <w:p>
      <w:pPr/>
      <w:r>
        <w:rPr/>
        <w:t xml:space="preserve">Ռ</w:t>
      </w:r>
      <w:r>
        <w:rPr>
          <w:vertAlign w:val="superscript"/>
        </w:rPr>
        <w:t xml:space="preserve">այլ հ</w:t>
      </w:r>
      <w:r>
        <w:rPr/>
        <w:t xml:space="preserve"> = Ռ</w:t>
      </w:r>
      <w:r>
        <w:rPr>
          <w:vertAlign w:val="superscript"/>
        </w:rPr>
        <w:t xml:space="preserve">հ </w:t>
      </w:r>
      <w:r>
        <w:rPr/>
        <w:t xml:space="preserve">x 50%</w:t>
      </w:r>
    </w:p>
    <w:p>
      <w:pPr/>
      <w:r>
        <w:rPr/>
        <w:t xml:space="preserve">որտեղ՝</w:t>
      </w:r>
    </w:p>
    <w:p>
      <w:pPr/>
      <w:r>
        <w:rPr/>
        <w:t xml:space="preserve">Ռ</w:t>
      </w:r>
      <w:r>
        <w:rPr>
          <w:vertAlign w:val="superscript"/>
        </w:rPr>
        <w:t xml:space="preserve">այլ հ</w:t>
      </w:r>
      <w:r>
        <w:rPr>
          <w:vertAlign w:val="superscript"/>
        </w:rPr>
        <w:t xml:space="preserve">․</w:t>
      </w:r>
      <w:r>
        <w:rPr/>
        <w:t xml:space="preserve"> – ընդհանուր վերցրած՝ Հայաստանի Հանրապետությունում ռոյալթի վճարողների կողմից շահագործվող հանք(եր)ի ազդակիր համայնք(ներ)ին հավասարաչափ բաշխման ենթակա ռոյալթիի չափ</w:t>
      </w:r>
    </w:p>
    <w:p>
      <w:pPr/>
      <w:r>
        <w:rPr/>
        <w:t xml:space="preserve">Ռ</w:t>
      </w:r>
      <w:r>
        <w:rPr>
          <w:vertAlign w:val="superscript"/>
        </w:rPr>
        <w:t xml:space="preserve">հ </w:t>
      </w:r>
      <w:r>
        <w:rPr/>
        <w:t xml:space="preserve"> - համայնքային ռոյալթիի տոկոսային չափ (2%)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Մասհանումների չափերը որոշվում են` ելնելով սույն հոդվածում նշված համապատասխան ընկերությունների կողմից առաջիկա բյուջետային տարվան նախորդող երկրորդ տարվա արդյունքներով պետական բյուջե վճարման ենթակա հաշվեգրված ռոյալթիի հանրագումարից։</w:t>
      </w:r>
    </w:p>
    <w:p>
      <w:pPr/>
      <w:r>
        <w:rPr/>
        <w:t xml:space="preserve">7․ Բաշխված համայնքային ռոյալթիի գումարը կարող է ծախսվել այն ուղղություններով, որոնք սահմանվում են կառավարության կողմից՝ բացառելով ։</w:t>
      </w:r>
    </w:p>
    <w:p>
      <w:pPr/>
      <w:r>
        <w:rPr/>
        <w:t xml:space="preserve">8․ Սույն հոդվածի 6-րդ մասում նշված բանաձևերով համայնքներին բաշխված համայնքային ռոյալթիները հանդիսանում են համայնքային բյուջեներին անվերադարձ կարգով տրվող դրամական միջոցներ։»։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28</w:t>
      </w:r>
      <w:r>
        <w:rPr>
          <w:vertAlign w:val="superscript"/>
        </w:rPr>
        <w:t xml:space="preserve">1</w:t>
      </w:r>
      <w:r>
        <w:rPr/>
        <w:t xml:space="preserve">-րդ հոդվածի 1․1 մասի բ) կետում «չափերով» բառից հետո լրացնել «, բացառությամբ սույն օրենքով սահմանված կարգով համայնքներին բաշխվող համայնքային ռոյալթիների»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35-րդ հոդվածը լրացնել 3</w:t>
      </w:r>
      <w:r>
        <w:rPr>
          <w:vertAlign w:val="superscript"/>
        </w:rPr>
        <w:t xml:space="preserve">1</w:t>
      </w:r>
      <w:r>
        <w:rPr/>
        <w:t xml:space="preserve"> մասով հետևյալ բովանդակությամբ․</w:t>
      </w:r>
    </w:p>
    <w:p>
      <w:pPr/>
      <w:r>
        <w:rPr/>
        <w:t xml:space="preserve">«3</w:t>
      </w:r>
      <w:r>
        <w:rPr>
          <w:vertAlign w:val="superscript"/>
        </w:rPr>
        <w:t xml:space="preserve">1</w:t>
      </w:r>
      <w:r>
        <w:rPr/>
        <w:t xml:space="preserve">․ ՀՀ կառավարության որոշմամբ կարող է սահմանվել սույն օրենքի 20-րդ հոդվածով համայնքներին բաշխված համայնքային ռոյալթիի ծախսերի մասով հաշվետվության առանձին ձևաչափ։»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36-րդ հոդվածի  գ) կետում «կայքում,» բառից հետո լրացնել «իսկ սույն օրենքի 20-րդ հոդվածով համայնքներին բաշխված համայնքային ռոյալթիի ծախսերի մասով հաշվետվությունը առանձին հրապարակվում է տվյալ համայնքի և/կամ մարզի մարզպետարանի պաշտոնական ինտերնետային կայքում՝ ներբեռնման հնարավորությամբ,»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</w:p>
    <w:p>
      <w:pPr/>
      <w:r>
        <w:rPr/>
        <w:t xml:space="preserve">1․ Սույն օրենքն ուժի մեջ է մտնում 2021 թվականի հունվարի 1-ին:</w:t>
      </w:r>
    </w:p>
    <w:p>
      <w:pPr/>
      <w:r>
        <w:rPr/>
        <w:t xml:space="preserve">2․ Կառավարությունը սույն օրենքի 3-րդ հոդվածով սահմանված որոշումն ընդունում է սույն օրենքն ուժի մեջ մտնելուց հետո երկամսյա ժամկետում։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 Ա ՍԱՐԳՍՅԱՆ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«Տեղական ինքնակառավարման մասին» 2002 թվականի մայիսի 7-ի ՀՕ-337 օրենքի (այսուհետ՝ Օրենք) 86-րդ հոդվածի 1-ին մասի 1) կետի դ․ ենթակետում «վճարներից» բառից հետո լրացնել «և ռոյալթիներից»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 </w:t>
      </w:r>
      <w:r>
        <w:rPr/>
        <w:t xml:space="preserve">«Տեղական ինքնակառավարման մասին» 2002 թվականի մայիսի 7-ի ՀՕ-337 օրենքի (այսուհետ՝ Օրենք) 18-րդ հոդվածի 1-ին մասի 5) կետից հետո ավելացնել 5.1 կետ հետևյալ բովանդակությամբ՝</w:t>
      </w:r>
    </w:p>
    <w:p>
      <w:pPr/>
      <w:r>
        <w:rPr/>
        <w:t xml:space="preserve">«5.1 Հաստատում է ռոյալթիներից գոյացած գումարների ծախսման ծրագրերը և վերահսկում դրանց իրականացումը»: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2021 թվականի հունվարի 1-ին։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         Ա ՍԱՐԳՍՅԱՆ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2026-03-31T08:28:39+04:00</dcterms:created>
  <dcterms:modified xsi:type="dcterms:W3CDTF">2026-03-31T08:28:39+04:00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