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ՏԱՐԱԾՔ ՏԵԽՆԻԿԱԿԱՆ ԿԱՆՈՆԱԿԱՐԳՄԱՆ ՕԲՅԵԿՏ ՀԱՆԴԻՍԱՑՈՂ ՇԻՆԱՐԱՐՈՒԹՅԱՆ ՈԼՈՐՏԻ ԱՐՏԱԴՐԱՆՔԻ ՆԵՐՄՈՒԾՄԱՆ ՎԵՐԱԲԵՐՅԱԼ, ՈՐՈՆՑ ՄԱՔՍԱՅԻՆ ՀԱՅՏԱՐԱՐԱԳՐՈՒՄՆ ՈՒՂԵԿՑՎՈՒՄ Է ՄԱՔՍԱՅԻՆ ՄԱՐՄԻՆՆԵՐԻՆ ԱՅԴ ԱՐՏԱԴՐԱՆՔԻ ՊԱՐՏԱԴԻՐ ՊԱՀԱՆՋՆԵՐԻՆ ՀԱՄԱՊԱՏԱՍԽԱՆՈՒԹՅՈՒՆԸ ՀԱՎԱՍՏՈՂ ՀԱՄԱՊԱՏԱՍԽԱՆՈՒԹՅԱՆ ԳՆԱՀԱՏՄԱՆ ՓԱՍՏԱԹՂԹԵՐԻ ՆԵՐԿԱՅԱՑՄԱՄԲ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N -   Ն</w:t>
      </w:r>
    </w:p>
    <w:p>
      <w:pPr/>
      <w:r>
        <w:rPr/>
        <w:t xml:space="preserve">ՀԱՅԱՍՏԱՆԻ ՀԱՆՐԱՊԵՏՈՒԹՅԱՆ ՏԱՐԱԾՔ ՏԵԽՆԻԿԱԿԱՆ ԿԱՆՈՆԱԿԱՐԳՄԱՆ ՕԲՅԵԿՏ ՀԱՆԴԻՍԱՑՈՂ ՇԻՆԱՐԱՐՈՒԹՅԱՆ ՈԼՈՐՏԻ ԱՐՏԱԴՐԱՆՔԻ ՆԵՐՄՈՒԾՄԱՆ ՎԵՐԱԲԵՐՅԱԼ, ՈՐՈՆՑ ՄԱՔՍԱՅԻՆ ՀԱՅՏԱՐԱՐԱԳՐՈՒՄՆ ՈՒՂԵԿՑՎՈՒՄ Է ՄԱՔՍԱՅԻՆ ՄԱՐՄԻՆՆԵՐԻՆ ԱՅԴ ԱՐՏԱԴՐԱՆՔԻ ՊԱՐՏԱԴԻՐ ՊԱՀԱՆՋՆԵՐԻՆ ՀԱՄԱՊԱՏԱՍԽԱՆՈՒԹՅՈՒՆԸ ՀԱՎԱՍՏՈՂ ՀԱՄԱՊԱՏԱՍԽԱՆՈՒԹՅԱՆ ԳՆԱՀԱՏՄԱՆ ՓԱՍՏԱԹՂԹԵՐԻ ՆԵՐԿԱՅԱՑՄԱՄԲ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Սահմանել, որ Հայաստանի Հանրապետության տարածք շինարարության ոլորտի արտադրանքի ներմուծումը, որի նկատմամբ Հայաստանի Հանրապետության օրենսդրության շրջանակներում սահմանվում են պարտադիր պահանջներ և տվյալ արտադրանքը հանդիսանում է տեխնիկական կանոնակարգման օբյեկտ՝ մաքսային հայտարարագրման ժամանակ մաքսային հայտարարագրի հետ մեկտեղ մաքսային մարմիններին պետք է ներկայացվեն այդ արտադրանքի պարտադիր պահանջներին համապատասխանությունը հավաստող համապատասխանության գնահատման փաստաթղթեր։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մաքսային տարածք ներմուծվող (ներմուծված) և տեխնիկական կանոնակարգման օբյեկտ հանդիսացող շինարարության ոլորտի արտադրանքի համապատասխանությունը հավաստող համապատասխանության գնահատման փաստաթղթերն են համապատասխանության սերտիֆիկատը կամ համապատասխանության մասին հայտարարագիրը: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մաքսային տարածք ներմուծվող (ներմուծված) և տեխնիկական կանոնակարգման օբյեկտ հանդիսացող շինարարության ոլորտի արտադրանքի համապատասխանությունը հավաստող համապատասխանության գնահատման փաստաթղթեր մաքսային մարմիններին չեն ներկայացվում, եթե տվյալ արտադրանքը (ապրանքները).</w:t>
      </w:r>
    </w:p>
    <w:p>
      <w:pPr>
        <w:numPr>
          <w:ilvl w:val="0"/>
          <w:numId w:val="3"/>
        </w:numPr>
      </w:pPr>
      <w:r>
        <w:rPr/>
        <w:t xml:space="preserve">ներմուծվում (ներմուծվել) է մեկ օրինակից (քանակությամբ), որը նախատեսված է արտաքին առևտրային մեկ պայմանագրով՝ հայտարարատուի կողմից բացառապես սեփական օգտագործման համար (այդ թվում՝ գիտահետազոտական կամ ներկայացուցչական նպատակներով՝ որպես հուշանվեր կամ գովազդային նյութ).</w:t>
      </w:r>
    </w:p>
    <w:p>
      <w:pPr>
        <w:numPr>
          <w:ilvl w:val="0"/>
          <w:numId w:val="3"/>
        </w:numPr>
      </w:pPr>
      <w:r>
        <w:rPr/>
        <w:t xml:space="preserve">ներմուծվում (ներմուծվել) է ֆիզիկական անձանց կողմից՝ անձնական օգտագործման նպատակով.</w:t>
      </w:r>
    </w:p>
    <w:p>
      <w:pPr>
        <w:numPr>
          <w:ilvl w:val="0"/>
          <w:numId w:val="3"/>
        </w:numPr>
      </w:pPr>
      <w:r>
        <w:rPr/>
        <w:t xml:space="preserve">Ձևակերպվում է «մաքսային տարանցում», «մաքսային տարածքում վերամշակում», «ներքին սպառման համար վերամշակում», «մաքսային պահեստ», «անմաքս առևտուր», «ոչնչացում», «հատուկ մաքսային ընթացակարգ» մաքսային ընթացակարգերով: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քսաներորդ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1FF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AB0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34AB9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2026-03-31T01:47:44+04:00</dcterms:created>
  <dcterms:modified xsi:type="dcterms:W3CDTF">2026-03-31T01:47:44+04:00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