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ՓՈՓՈԽՈՒԹՅՈՒՆ ԿԱՏԱՐԵԼՈՒ ՄԱՍԻՆ» ԵՎ «ԳՈՐԾՈՒՆԵՈՒԹՅԱՆ ԻՐԱԿԱՆԱՑՄԱՆ ԾԱՆՈՒՑՄԱՆ ՄԱՍԻՆ» ՕՐԵՆՔՈՒՄ ՓՈՓՈԽՈՒԹՅՈՒՆ ԿԱՏԱՐԵԼՈՒ ՄԱՍԻՆ ՀԱՅԱՍՏԱՆԻ ՀԱՆՐԱՊԵՏՈՒԹՅԱՆ ՕՐԵՆՔՆԵՐ</w:t>
      </w:r>
      <w:bookmarkEnd w:id="0"/>
    </w:p>
    <w:p>
      <w:pPr>
        <w:pStyle w:val="Heading2"/>
      </w:pPr>
      <w:r>
        <w:rPr/>
        <w:t xml:space="preserve">ՀԱՅԱՍՏԱՆԻ ՀԱՆՐԱՊԵՏՈՒԹՅԱՆ ՕՐԵՆՔԸ</w:t>
      </w:r>
    </w:p>
    <w:p>
      <w:pPr/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«ՊԵՏԱԿԱՆ ՏՈՒՐՔԻ ՄԱՍԻՆ» ՕՐԵՆՔՈՒՄ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«Պետական տուրքի մասին» 1997 թվականի դեկտեմբերի 27-ի ՀՕ-186 օրենքի 20.1-ին հոդվածի 1-ին մասի 15-րդ ենթակետը շարադրել հետևյալ խմբագրությամբ նոր բովանդակությամբ.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15) «Արտաքին տնտեսական գործունեության ապրանքային անվանացանկ» (ԱՏԳ ԱԱ) դասակարգչի 2523 ծածկագրին դասվող ցեմենտի (բացառությամբ 2523210000 ծածկագրի) «Բացթողնում՝ ներքին սպառման համար», «Վերամշակում՝ մաքսային տարածքում» և «Վերամշակում՝ ներքին սպառման համար» մաքսային ընթացակարգերով ներմուծման յուրաքանչյուր տոննայի համար (մինչև մեկ տոննայի համար տուրքը հաշվարկվում է յուրաքանչյուր կիլոգրամի համար 18 դրամ), իսկ</w:t>
            </w:r>
          </w:p>
          <w:p>
            <w:pPr/>
            <w:r>
              <w:rPr/>
              <w:t xml:space="preserve">ԱՏԳ ԱԱ 252310 ծածկագրին դասվող ցեմենտի «Բացթողնում՝ ներքին սպառման համար», «Վերամշակում՝ մաքսային տարածքում» և «Վերամշակում՝ ներքին սպառման համար» մաքսային ընթացակարգերով ներմուծման յուրաքանչյուր տոննայի համար (մինչև մեկ տոննայի համար տուրքը հաշվարկվում է յուրաքանչյուր կիլոգրամի համար 10 դրամ)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 տուրքի</w:t>
            </w:r>
            <w:br/>
            <w:r>
              <w:rPr/>
              <w:t xml:space="preserve"> 18-ապատիկի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 տուրքի</w:t>
            </w:r>
            <w:br/>
            <w:r>
              <w:rPr/>
              <w:t xml:space="preserve"> 10-ապատիկի չափով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հրապարակմանը հաջորդող  տասներորդ օրվանից: 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                         ՀԱՅԱՍՏԱՆԻ ՀԱՆՐԱՊԵՏՈՒԹՅԱՆ ՕՐԵՆՔԸ</w:t>
      </w:r>
    </w:p>
    <w:p>
      <w:pPr/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«ԳՈՐԾՈՒՆԵՈՒԹՅԱՆ ԻՐԱԿԱՆԱՑՄԱՆ ԾԱՆՈՒՑՄԱՆ ՄԱՍԻՆ» ՕՐԵՆՔՈՒՄ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«Գործունեության իրականացման ծանուցման մասին»                                2015 թվականի նոյեմբերի 13-ի ՀO-120-Ն օրենքի 22-րդ հոդվածում՝</w:t>
      </w:r>
    </w:p>
    <w:p>
      <w:pPr/>
      <w:r>
        <w:rPr/>
        <w:t xml:space="preserve">1) 2-րդ մասի ծանուցման ենթակա գործունեության տեսակների աղյուսակի «4. ԳՈՐԾՈՒՆԵՈՒԹՅԱՆ ԱՅԼ ԲՆԱԳԱՎԱՌՆԵՐ» բաժնի 10-րդ կետը շարադրել հետևյալ խմբագրությամբ նոր բովանդակությամբ.</w:t>
      </w:r>
    </w:p>
    <w:p>
      <w:pPr/>
      <w:r>
        <w:rPr/>
        <w:t xml:space="preserve">. </w:t>
      </w:r>
    </w:p>
    <w:tbl>
      <w:tblGrid>
        <w:gridCol w:w="5000" w:type="dxa"/>
        <w:gridCol w:w="5000" w:type="dxa"/>
        <w:gridCol w:w="5000" w:type="dxa"/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ԱՏԳ ԱԱ 2523 (բացառությամբ 2523210000 ապրանքային դիրքին դասվող ծածկագրի) ապրանքային դիրքի ծածկագրին դասվող ցեմենտի «Բացթողնում՝ ներքին սպառման համար», «Վերամշակում՝ մաքսային տարածքում» և «Վերամշակում՝ ներքին սպառման համար» մաքսային ընթացակարգերով ներմուծման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ԿՄ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տասներորդ օրվանից:</w:t>
      </w:r>
    </w:p>
    <w:p>
      <w:pPr/>
      <w:r>
        <w:rPr/>
        <w:t xml:space="preserve"> </w:t>
      </w:r>
      <w:br/>
      <w:r>
        <w:rPr/>
        <w:t xml:space="preserve">   </w:t>
      </w:r>
      <w:br/>
      <w:r>
        <w:rPr/>
        <w:t xml:space="preserve"> 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2026-03-31T08:16:06+04:00</dcterms:created>
  <dcterms:modified xsi:type="dcterms:W3CDTF">2026-03-31T08:16:06+04:00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