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«Գյուղատնտեսական նշանակության հողերի օգտագործման արդյունավետության բարձրացման հայեցակարգը հաստատելու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«___» «________» 2019 թվականի N _____ Լ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ԳՅՈՒՂԱՏՆՏԵՍ</w:t>
      </w:r>
      <w:r>
        <w:rPr>
          <w:b w:val="1"/>
          <w:bCs w:val="1"/>
        </w:rPr>
        <w:t xml:space="preserve">ԱԿԱՆ</w:t>
      </w:r>
      <w:r>
        <w:rPr/>
        <w:t xml:space="preserve"> </w:t>
      </w:r>
      <w:r>
        <w:rPr>
          <w:b w:val="1"/>
          <w:bCs w:val="1"/>
        </w:rPr>
        <w:t xml:space="preserve">ՆՇԱՆԱԿՈՒԹՅԱՆ ՀՈՂԵՐԻ ՕԳՏԱԳՈՐԾՄԱՆ ԱՐԴՅՈՒՆԱՎԵՏՈՒԹՅԱՆ ԲԱՐՁՐԱՑՄԱՆ </w:t>
      </w:r>
      <w:r>
        <w:rPr>
          <w:b w:val="1"/>
          <w:bCs w:val="1"/>
        </w:rPr>
        <w:t xml:space="preserve">ՀԱՅԵՑԱԿԱՐԳԸ ԵՎ ՄԻՋՈՑԱՌՈՒՄՆԵՐԻ ԾՐԱԳԻՐԸ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Համաձայն Հայաստանի Հանրապետության Սահմանադրության 146-րդ հոդվածի՝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Հաստատել՝</w:t>
      </w:r>
    </w:p>
    <w:p>
      <w:pPr>
        <w:numPr>
          <w:ilvl w:val="0"/>
          <w:numId w:val="3"/>
        </w:numPr>
      </w:pPr>
      <w:r>
        <w:rPr/>
        <w:t xml:space="preserve">գյուղատնտեսական նշանակության հողերի օգտագործման արդյունա-վետության բարձրացման հայեցակարգը՝ համաձայն N 1 հավելվածի,</w:t>
      </w:r>
    </w:p>
    <w:p>
      <w:pPr>
        <w:numPr>
          <w:ilvl w:val="0"/>
          <w:numId w:val="3"/>
        </w:numPr>
      </w:pPr>
      <w:r>
        <w:rPr/>
        <w:t xml:space="preserve">գյուղատնտեսական նշանակության հողերի օգտագործման արդյունավետության բարձրացման միջոցառումների ծրագիրը՝ համաձայն N 2 հավելվածի: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765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AD1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2026-04-04T09:21:12+04:00</dcterms:created>
  <dcterms:modified xsi:type="dcterms:W3CDTF">2026-04-04T09:21:12+04:00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