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ՀՀ ԿԱՌԱՎԱՐՈՒԹՅԱՆ 2018 ԹՎԱԿԱՆԻ ԴԵԿՏԵՄԲԵՐԻ 18-Ի № 1467-Ն ՈՐՈՇՄԱՆ ՄԵՋ ԼՐԱՑՈՒՄ ԿԱՏԱՐԵԼՈՒ ՄԱՍԻՆ</w:t>
      </w:r>
      <w:bookmarkEnd w:id="0"/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N   -Ն</w:t>
      </w:r>
    </w:p>
    <w:p>
      <w:pPr>
        <w:jc w:val="center"/>
      </w:pPr>
      <w:r>
        <w:rPr/>
        <w:t xml:space="preserve">ՀԱՅԱՍՏԱՆԻ ՀԱՆՐԱՊԵՏՈՒԹՅԱՆ ԿԱՌԱՎԱՐՈՒԹՅԱՆ 2018 ԹՎԱԿԱՆԻ ԴԵԿՏԵՄԲԵՐԻ 18-Ի № 1467-Ն ՈՐՈՇՄԱՆ ՄԵՋ ԼՐԱՑՈՒՄ ԿԱՏԱՐԵԼՈՒ ՄԱՍԻՆ</w:t>
      </w:r>
    </w:p>
    <w:p>
      <w:pPr/>
      <w:r>
        <w:rPr/>
        <w:t xml:space="preserve">Հիմք ընդունելով «Հայաստանի Հանրապետության հարկային օրենսգիրք» ՀՀ օրենքի 122-րդ հոդվածի 2-րդ մասը և «Նորմատիվ իրավական ակտերի մասին» ՀՀ օրենքի 33-րդ հոդվածի 3-րդ մասը` ՀՀ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ՀՀ կառավարության 2018 թվականի դեկտեմբերի 13-ի «Հարկման բազայի որոշման նպատակով համախառն եկամտից նվազեցվող գույքի բնական կորուստների չափերը սահմանելու մասին» № 1467-Ն որոշման (այսուհետ` Որոշում) մեջ կատարել հետևյալ լրացումը.</w:t>
      </w:r>
    </w:p>
    <w:p>
      <w:pPr/>
      <w:r>
        <w:rPr/>
        <w:t xml:space="preserve">1) Որոշման 1-ին կետը լրացնել հետևյալ բովանդակությամբ նոր՝ 11-րդ ենթակետով. «11) հարկման բազայի որոշման նպատակով համախառն եկամտից նվազեցվող նավթամթերքի տեղափոխման և պահպանման ժամանակ առաջացող բնական կորուստների չափերը` համաձայն № 11 հավելվածի»: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 և տարածվում է 2018 թվականի հունվարի 1-ից հետո ծագող (ծագած) հարաբերությունների վրա: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զինված ուժերի համար սույն որոշումն ուժի մեջ մտնելուց հետո այն չի տարածվում մինչ այդ Հայաստանի Հանրապետության զինված ուժերում կիրառվող բնական կորստի նորմերի վրա: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                                                           </w:t>
      </w:r>
    </w:p>
    <w:p>
      <w:pPr/>
      <w:r>
        <w:rPr/>
        <w:t xml:space="preserve">                   ՎԱՐՉԱՊԵՏ                                                                                                                                  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2019 թվականի</w:t>
      </w:r>
    </w:p>
    <w:p>
      <w:pPr>
        <w:jc w:val="end"/>
      </w:pPr>
      <w:r>
        <w:rPr/>
        <w:t xml:space="preserve">_______________ ____ №____-Ն որոշման</w:t>
      </w:r>
    </w:p>
    <w:p>
      <w:pPr>
        <w:jc w:val="end"/>
      </w:pPr>
      <w:r>
        <w:rPr/>
        <w:t xml:space="preserve">Հավելված 11</w:t>
      </w:r>
    </w:p>
    <w:p>
      <w:pPr>
        <w:jc w:val="end"/>
      </w:pPr>
      <w:r>
        <w:rPr/>
        <w:t xml:space="preserve">ՀՀ կառավարության 2018 թվականի</w:t>
      </w:r>
    </w:p>
    <w:p>
      <w:pPr>
        <w:jc w:val="end"/>
      </w:pPr>
      <w:r>
        <w:rPr/>
        <w:t xml:space="preserve">դեկտեմբերի 13-ի № 1467-Ն որոշման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ՉԱՓԵՐ</w:t>
      </w:r>
    </w:p>
    <w:p>
      <w:pPr>
        <w:jc w:val="center"/>
      </w:pPr>
      <w:r>
        <w:rPr>
          <w:b w:val="1"/>
          <w:bCs w:val="1"/>
        </w:rPr>
        <w:t xml:space="preserve">ՀԱՐԿՄԱՆ </w:t>
      </w:r>
      <w:r>
        <w:rPr>
          <w:b w:val="1"/>
          <w:bCs w:val="1"/>
        </w:rPr>
        <w:t xml:space="preserve">ԲԱԶԱՅԻ ՈՐՈՇՄԱՆ </w:t>
      </w:r>
      <w:r>
        <w:rPr>
          <w:b w:val="1"/>
          <w:bCs w:val="1"/>
        </w:rPr>
        <w:t xml:space="preserve">ՆՊԱՏԱԿՈՎ ՀԱՄԱԽԱՌՆ ԵԿԱՄՏԻՑ ՆՎԱԶԵՑՎՈՂ ՆԱՎԹԱՄԹԵՐՔԻ ՏԵՂԱՓՈԽՄԱՆ ԵՎ ՊԱՀՊԱՆՄԱՆ ԺԱՄԱՆԱԿ ԱՌԱՋԱՑՈՂ ԲՆԱԿԱՆ ԿՈՐՈՒՍՏՆԵՐԻ</w:t>
      </w:r>
    </w:p>
    <w:p>
      <w:pPr/>
      <w:r>
        <w:rPr>
          <w:b w:val="1"/>
          <w:bCs w:val="1"/>
        </w:rPr>
        <w:t xml:space="preserve">ԸՆԴՀԱՆՈՒՐ ԴՐՈՒՅԹՆԵՐ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Նավթամթերքի բնական կորուստը բեռնափոխադրման, բեռնաթափման, բեռնաբարձման և պահպանման ժամանակ վառելիքի զանգվածի բնականոն նվազումն է որակի պահպանմամբ, ինչը ֆիզիկաքիմիական, մեխանիկական, բնակլիմայական գործոնների ազդեցության հետևանք է:</w:t>
      </w:r>
    </w:p>
    <w:p>
      <w:pPr>
        <w:numPr>
          <w:ilvl w:val="0"/>
          <w:numId w:val="4"/>
        </w:numPr>
      </w:pPr>
      <w:r>
        <w:rPr/>
        <w:t xml:space="preserve">Բնական կորուստներին չեն վերաբերում նավթամթերքի այն պակասորդները, որոնք առաջացել են տնտեսավարող սուբյեկտի կողմից սահմանված պահանջների և տեխնիկական շահագործման կանոնների խախտման կամ բնական աղետների հետևանքներով:</w:t>
      </w:r>
    </w:p>
    <w:p>
      <w:pPr>
        <w:numPr>
          <w:ilvl w:val="0"/>
          <w:numId w:val="4"/>
        </w:numPr>
      </w:pPr>
      <w:r>
        <w:rPr/>
        <w:t xml:space="preserve">Բնական կորուստներ չեն այն կորուստները, որոնք առաջացել են տարողությունների և խողովակաշարերի մաքրման և վերանորոգման ցանկացած տեսակի աշխատանքների հետևանքով, վթարային կորուստները, ինչպես նաև կորուստները գողոնից, բնական աղետներից և ներպահեստային պոմպային մղումներից:</w:t>
      </w:r>
    </w:p>
    <w:p>
      <w:pPr>
        <w:numPr>
          <w:ilvl w:val="0"/>
          <w:numId w:val="4"/>
        </w:numPr>
      </w:pPr>
      <w:r>
        <w:rPr/>
        <w:t xml:space="preserve">Բնական կորուստների հաշվարկն իրականացվում է սույն հավելվածով սահմանված չափերին համապատասխան՝ դրանք համադրելով նավթամթերքի փաստացի մնացորդային զանգվածի հետ: Այն դեպքում, երբ փաստացի մնացորդային զանգվածն ավելի մեծ է, քան սույն հավելվածով սահմանված բնական կորստի չափերով հաշվարկված զանգվածը, հիմք է ընդունվում փաստացի մնացորդային զանգվածը: Այն դեպքում, երբ փաստացի մնացորդային զանգվածն ավելի փոքր է, քան սույն հավելվածով սահմանված բնական կորստի չափերով հաշվարկված զանգվածը, հիմք է ընդունվում սույն հավելվածով սահմանված բնական կորստի չափերով հաշվարկված զանգվածը:</w:t>
      </w:r>
    </w:p>
    <w:p>
      <w:pPr>
        <w:numPr>
          <w:ilvl w:val="0"/>
          <w:numId w:val="4"/>
        </w:numPr>
      </w:pPr>
      <w:r>
        <w:rPr/>
        <w:t xml:space="preserve">Նավթամթերքի ըստ տեսակների դասերը ներկայացված են սույն հավելվածի N 6-րդ աղյուսակով:</w:t>
      </w:r>
    </w:p>
    <w:p>
      <w:pPr>
        <w:jc w:val="both"/>
      </w:pPr>
      <w:r>
        <w:rPr>
          <w:b w:val="1"/>
          <w:bCs w:val="1"/>
        </w:rPr>
        <w:t xml:space="preserve">ՆԱՎԹԱՄԹԵՐՔԻ ՏԵՂԱՓՈԽՄԱՆ ԴԵՊՔՈՒՄ ԲՆԱԿԱՆ ԿՈՐՈՒՍՏՆԵՐԻ ՉԱՓԵՐԸ</w:t>
      </w:r>
    </w:p>
    <w:p>
      <w:pPr>
        <w:jc w:val="both"/>
      </w:pPr>
      <w:r>
        <w:rPr/>
        <w:t xml:space="preserve">6. Նավթամթերքի տեղափոխման դեպքում բնական կորստի չափաքանակը, ըստ տրանսպորտային միջոցների (տեսակների) տեղափոխման, հաշվարկվում է ապրանքաուղեկից փաստաթղթերով տեղափոխման համար հայտարարագրված և փաստացի բարձված բեռի ընդհանուր զանգվածը բազմապատկելով Աղյուսակ 1-ում ներկայացված տոկոսներով արտահայտված կորստի նորմերով:</w:t>
      </w:r>
    </w:p>
    <w:p>
      <w:pPr>
        <w:jc w:val="both"/>
      </w:pPr>
      <w:r>
        <w:rPr/>
        <w:t xml:space="preserve">7. Եթե նավթամթերքը տեղափոխվում է տարբեր տեսակի տրանսպորտային միջոցներով, ապա նավթամթերքի բնական կորստի հաշվարկման չափը ընդունվում է Աղյուսակ 1-ով ներկայացված տրանսպորտային միջոցների տեսակների համար սահմանված կորստի չափերի հանրագումարի չափով:</w:t>
      </w:r>
    </w:p>
    <w:p>
      <w:pPr/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Աղյուսակ N 1.</w:t>
      </w:r>
    </w:p>
    <w:tbl>
      <w:tblGrid>
        <w:gridCol w:w="9015" w:type="dxa"/>
      </w:tblGrid>
      <w:tblPr>
        <w:tblW w:w="9015" w:type="dxa"/>
        <w:tblLayout w:type="autofit"/>
      </w:tblPr>
      <w:tr>
        <w:trPr/>
        <w:tc>
          <w:tcPr>
            <w:tcW w:w="9015" w:type="dxa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(</w:t>
            </w:r>
            <w:r>
              <w:rPr>
                <w:b w:val="1"/>
                <w:bCs w:val="1"/>
              </w:rPr>
              <w:t xml:space="preserve">կգ-ներով 1 տոննա </w:t>
            </w:r>
            <w:r>
              <w:rPr>
                <w:b w:val="1"/>
                <w:bCs w:val="1"/>
              </w:rPr>
              <w:t xml:space="preserve">նավթամթերքի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տեղափոխման դեպքում</w:t>
            </w:r>
            <w:r>
              <w:rPr>
                <w:b w:val="1"/>
                <w:bCs w:val="1"/>
              </w:rPr>
              <w:t xml:space="preserve">)</w:t>
            </w:r>
          </w:p>
        </w:tc>
      </w:tr>
    </w:tbl>
    <w:p>
      <w:pPr/>
      <w:r>
        <w:rPr/>
        <w:t xml:space="preserve"> </w:t>
      </w:r>
    </w:p>
    <w:tbl>
      <w:tblGrid>
        <w:gridCol w:w="9855" w:type="dxa"/>
        <w:gridCol w:w="9855" w:type="dxa"/>
        <w:gridCol w:w="9855" w:type="dxa"/>
        <w:gridCol w:w="4200" w:type="dxa"/>
      </w:tblGrid>
      <w:tblPr>
        <w:tblW w:w="9855" w:type="dxa"/>
        <w:tblLayout w:type="autofit"/>
      </w:tblPr>
      <w:tr>
        <w:trPr/>
        <w:tc>
          <w:tcPr>
            <w:tcW w:w="9855" w:type="dxa"/>
            <w:noWrap/>
          </w:tcPr>
          <w:p>
            <w:pPr/>
            <w:r>
              <w:rPr>
                <w:b w:val="1"/>
                <w:bCs w:val="1"/>
              </w:rPr>
              <w:t xml:space="preserve">Նավթամթերքի</w:t>
            </w:r>
            <w:br/>
            <w:r>
              <w:rPr>
                <w:b w:val="1"/>
                <w:bCs w:val="1"/>
              </w:rPr>
              <w:t xml:space="preserve"> դաս</w:t>
            </w:r>
          </w:p>
        </w:tc>
        <w:tc>
          <w:tcPr>
            <w:tcW w:w="8025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Նավթամթերքի տեղափոխման դեպքում բնական կորուստների չափերը, ըստ՝</w:t>
            </w:r>
          </w:p>
        </w:tc>
      </w:tr>
      <w:tr>
        <w:trPr/>
        <w:tc>
          <w:tcPr>
            <w:tcW w:w="9855" w:type="dxa"/>
            <w:noWrap/>
          </w:tcPr>
          <w:p>
            <w:pPr/>
            <w:r>
              <w:rPr>
                <w:b w:val="1"/>
                <w:bCs w:val="1"/>
              </w:rPr>
              <w:t xml:space="preserve">Ավտոմոբիլային</w:t>
            </w:r>
            <w:br/>
            <w:r>
              <w:rPr>
                <w:b w:val="1"/>
                <w:bCs w:val="1"/>
              </w:rPr>
              <w:t xml:space="preserve"> </w:t>
            </w:r>
            <w:r>
              <w:rPr>
                <w:b w:val="1"/>
                <w:bCs w:val="1"/>
              </w:rPr>
              <w:t xml:space="preserve">տրանսպորտ</w:t>
            </w:r>
          </w:p>
        </w:tc>
        <w:tc>
          <w:tcPr>
            <w:tcW w:w="9855" w:type="dxa"/>
            <w:noWrap/>
          </w:tcPr>
          <w:p>
            <w:pPr/>
            <w:r>
              <w:rPr>
                <w:b w:val="1"/>
                <w:bCs w:val="1"/>
              </w:rPr>
              <w:t xml:space="preserve">Երկաթուղային</w:t>
            </w:r>
            <w:br/>
            <w:r>
              <w:rPr>
                <w:b w:val="1"/>
                <w:bCs w:val="1"/>
              </w:rPr>
              <w:t xml:space="preserve"> </w:t>
            </w:r>
            <w:r>
              <w:rPr>
                <w:b w:val="1"/>
                <w:bCs w:val="1"/>
              </w:rPr>
              <w:t xml:space="preserve">տրանսպորտ</w:t>
            </w:r>
          </w:p>
        </w:tc>
        <w:tc>
          <w:tcPr>
            <w:tcW w:w="4200" w:type="dxa"/>
            <w:noWrap/>
          </w:tcPr>
          <w:p>
            <w:pPr/>
            <w:r>
              <w:rPr>
                <w:b w:val="1"/>
                <w:bCs w:val="1"/>
              </w:rPr>
              <w:t xml:space="preserve">Ջրային</w:t>
            </w:r>
            <w:br/>
            <w:r>
              <w:rPr>
                <w:b w:val="1"/>
                <w:bCs w:val="1"/>
              </w:rPr>
              <w:t xml:space="preserve"> </w:t>
            </w:r>
            <w:r>
              <w:rPr>
                <w:b w:val="1"/>
                <w:bCs w:val="1"/>
              </w:rPr>
              <w:t xml:space="preserve">տրանսպորտ</w:t>
            </w:r>
          </w:p>
        </w:tc>
      </w:tr>
      <w:tr>
        <w:trPr/>
        <w:tc>
          <w:tcPr>
            <w:tcW w:w="9855" w:type="dxa"/>
            <w:noWrap/>
          </w:tcPr>
          <w:p>
            <w:pPr/>
            <w:r>
              <w:rPr/>
              <w:t xml:space="preserve">1, 2,</w:t>
            </w:r>
          </w:p>
        </w:tc>
        <w:tc>
          <w:tcPr>
            <w:tcW w:w="9855" w:type="dxa"/>
            <w:noWrap/>
          </w:tcPr>
          <w:p>
            <w:pPr/>
            <w:r>
              <w:rPr/>
              <w:t xml:space="preserve">0.15</w:t>
            </w:r>
          </w:p>
        </w:tc>
        <w:tc>
          <w:tcPr>
            <w:tcW w:w="9855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4200" w:type="dxa"/>
            <w:noWrap/>
          </w:tcPr>
          <w:p>
            <w:pPr/>
            <w:r>
              <w:rPr/>
              <w:t xml:space="preserve">2.46</w:t>
            </w:r>
          </w:p>
        </w:tc>
      </w:tr>
      <w:tr>
        <w:trPr/>
        <w:tc>
          <w:tcPr>
            <w:tcW w:w="9855" w:type="dxa"/>
            <w:noWrap/>
          </w:tcPr>
          <w:p>
            <w:pPr/>
            <w:r>
              <w:rPr/>
              <w:t xml:space="preserve">3, 4</w:t>
            </w:r>
          </w:p>
        </w:tc>
        <w:tc>
          <w:tcPr>
            <w:tcW w:w="9855" w:type="dxa"/>
            <w:noWrap/>
          </w:tcPr>
          <w:p>
            <w:pPr/>
            <w:r>
              <w:rPr/>
              <w:t xml:space="preserve">0.015</w:t>
            </w:r>
          </w:p>
        </w:tc>
        <w:tc>
          <w:tcPr>
            <w:tcW w:w="9855" w:type="dxa"/>
            <w:noWrap/>
          </w:tcPr>
          <w:p>
            <w:pPr/>
            <w:r>
              <w:rPr/>
              <w:t xml:space="preserve">0.17</w:t>
            </w:r>
          </w:p>
        </w:tc>
        <w:tc>
          <w:tcPr>
            <w:tcW w:w="4200" w:type="dxa"/>
            <w:noWrap/>
          </w:tcPr>
          <w:p>
            <w:pPr/>
            <w:r>
              <w:rPr/>
              <w:t xml:space="preserve">1.42</w:t>
            </w:r>
          </w:p>
        </w:tc>
      </w:tr>
      <w:tr>
        <w:trPr/>
        <w:tc>
          <w:tcPr>
            <w:tcW w:w="985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9855" w:type="dxa"/>
            <w:noWrap/>
          </w:tcPr>
          <w:p>
            <w:pPr/>
            <w:r>
              <w:rPr/>
              <w:t xml:space="preserve">0.004</w:t>
            </w:r>
          </w:p>
        </w:tc>
        <w:tc>
          <w:tcPr>
            <w:tcW w:w="9855" w:type="dxa"/>
            <w:noWrap/>
          </w:tcPr>
          <w:p>
            <w:pPr/>
            <w:r>
              <w:rPr/>
              <w:t xml:space="preserve">0.08</w:t>
            </w:r>
          </w:p>
        </w:tc>
        <w:tc>
          <w:tcPr>
            <w:tcW w:w="4200" w:type="dxa"/>
            <w:noWrap/>
          </w:tcPr>
          <w:p>
            <w:pPr/>
            <w:r>
              <w:rPr/>
              <w:t xml:space="preserve">1.26</w:t>
            </w:r>
          </w:p>
        </w:tc>
      </w:tr>
      <w:tr>
        <w:trPr/>
        <w:tc>
          <w:tcPr>
            <w:tcW w:w="985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9855" w:type="dxa"/>
            <w:noWrap/>
          </w:tcPr>
          <w:p>
            <w:pPr/>
            <w:r>
              <w:rPr/>
              <w:t xml:space="preserve">0.015</w:t>
            </w:r>
          </w:p>
        </w:tc>
        <w:tc>
          <w:tcPr>
            <w:tcW w:w="9855" w:type="dxa"/>
            <w:noWrap/>
          </w:tcPr>
          <w:p>
            <w:pPr/>
            <w:r>
              <w:rPr/>
              <w:t xml:space="preserve">0.092</w:t>
            </w:r>
          </w:p>
        </w:tc>
        <w:tc>
          <w:tcPr>
            <w:tcW w:w="4200" w:type="dxa"/>
            <w:noWrap/>
          </w:tcPr>
          <w:p>
            <w:pPr/>
            <w:r>
              <w:rPr/>
              <w:t xml:space="preserve">1.26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Նավթամթերքի բնական կորստի չափը տարողություններում ընդունման (բեռնաբարձման) դեպքում ներկայացված է Աղյուսակ N 2-ով: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Աղյուսակ N 2</w:t>
      </w:r>
    </w:p>
    <w:p>
      <w:pPr>
        <w:jc w:val="end"/>
      </w:pPr>
      <w:r>
        <w:rPr>
          <w:b w:val="1"/>
          <w:bCs w:val="1"/>
        </w:rPr>
        <w:t xml:space="preserve">(կգ-ներով՝ 1 տոննա </w:t>
      </w:r>
      <w:r>
        <w:rPr>
          <w:b w:val="1"/>
          <w:bCs w:val="1"/>
        </w:rPr>
        <w:t xml:space="preserve">նավթամթերքի</w:t>
      </w:r>
      <w:r>
        <w:rPr/>
        <w:t xml:space="preserve"> </w:t>
      </w:r>
      <w:r>
        <w:rPr>
          <w:b w:val="1"/>
          <w:bCs w:val="1"/>
        </w:rPr>
        <w:t xml:space="preserve">ընդունման (բեռնաբարձման) դեպքում</w:t>
      </w:r>
      <w:r>
        <w:rPr/>
        <w:t xml:space="preserve">)</w:t>
      </w:r>
    </w:p>
    <w:tbl>
      <w:tblGrid>
        <w:gridCol w:w="3285" w:type="dxa"/>
        <w:gridCol w:w="3285" w:type="dxa"/>
        <w:gridCol w:w="3285" w:type="dxa"/>
      </w:tblGrid>
      <w:tblPr>
        <w:tblW w:w="0" w:type="auto"/>
        <w:tblLayout w:type="autofit"/>
      </w:tblPr>
      <w:tr>
        <w:trPr/>
        <w:tc>
          <w:tcPr>
            <w:tcW w:w="3285" w:type="dxa"/>
            <w:noWrap/>
          </w:tcPr>
          <w:p>
            <w:pPr/>
            <w:r>
              <w:rPr>
                <w:b w:val="1"/>
                <w:bCs w:val="1"/>
              </w:rPr>
              <w:t xml:space="preserve">Տարողության տեսակ</w:t>
            </w:r>
          </w:p>
        </w:tc>
        <w:tc>
          <w:tcPr>
            <w:tcW w:w="3285" w:type="dxa"/>
            <w:noWrap/>
          </w:tcPr>
          <w:p>
            <w:pPr/>
            <w:r>
              <w:rPr>
                <w:b w:val="1"/>
                <w:bCs w:val="1"/>
              </w:rPr>
              <w:t xml:space="preserve">Նավթամթերքի դաս</w:t>
            </w:r>
          </w:p>
        </w:tc>
        <w:tc>
          <w:tcPr>
            <w:tcW w:w="3285" w:type="dxa"/>
            <w:noWrap/>
          </w:tcPr>
          <w:p>
            <w:pPr/>
            <w:r>
              <w:rPr>
                <w:b w:val="1"/>
                <w:bCs w:val="1"/>
              </w:rPr>
              <w:t xml:space="preserve">Նավթամթերքի բնական կորստի չափերը</w:t>
            </w:r>
          </w:p>
        </w:tc>
      </w:tr>
      <w:tr>
        <w:trPr/>
        <w:tc>
          <w:tcPr>
            <w:tcW w:w="3285" w:type="dxa"/>
            <w:noWrap/>
          </w:tcPr>
          <w:p>
            <w:pPr/>
            <w:r>
              <w:rPr>
                <w:b w:val="1"/>
                <w:bCs w:val="1"/>
              </w:rPr>
              <w:t xml:space="preserve">Վերգետնյա մետաղական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0,39</w:t>
            </w:r>
          </w:p>
        </w:tc>
      </w:tr>
      <w:tr>
        <w:trPr/>
        <w:tc>
          <w:tcPr>
            <w:tcW w:w="32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0,32</w:t>
            </w:r>
          </w:p>
        </w:tc>
      </w:tr>
      <w:tr>
        <w:trPr/>
        <w:tc>
          <w:tcPr>
            <w:tcW w:w="328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0,08</w:t>
            </w:r>
          </w:p>
        </w:tc>
      </w:tr>
      <w:tr>
        <w:trPr/>
        <w:tc>
          <w:tcPr>
            <w:tcW w:w="328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0,05</w:t>
            </w:r>
          </w:p>
        </w:tc>
      </w:tr>
      <w:tr>
        <w:trPr/>
        <w:tc>
          <w:tcPr>
            <w:tcW w:w="328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0,04</w:t>
            </w:r>
          </w:p>
        </w:tc>
      </w:tr>
      <w:tr>
        <w:trPr/>
        <w:tc>
          <w:tcPr>
            <w:tcW w:w="328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1,08</w:t>
            </w:r>
          </w:p>
        </w:tc>
      </w:tr>
      <w:tr>
        <w:trPr/>
        <w:tc>
          <w:tcPr>
            <w:tcW w:w="3285" w:type="dxa"/>
            <w:noWrap/>
          </w:tcPr>
          <w:p>
            <w:pPr/>
            <w:r>
              <w:rPr>
                <w:b w:val="1"/>
                <w:bCs w:val="1"/>
              </w:rPr>
              <w:t xml:space="preserve">Վերգետնյա մետաղական ներքին պոնտոններով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0,25</w:t>
            </w:r>
          </w:p>
        </w:tc>
      </w:tr>
      <w:tr>
        <w:trPr/>
        <w:tc>
          <w:tcPr>
            <w:tcW w:w="32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0,26</w:t>
            </w:r>
          </w:p>
        </w:tc>
      </w:tr>
      <w:tr>
        <w:trPr/>
        <w:tc>
          <w:tcPr>
            <w:tcW w:w="3285" w:type="dxa"/>
            <w:noWrap/>
          </w:tcPr>
          <w:p>
            <w:pPr/>
            <w:r>
              <w:rPr>
                <w:b w:val="1"/>
                <w:bCs w:val="1"/>
              </w:rPr>
              <w:t xml:space="preserve">Ստորգետնյա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0,22</w:t>
            </w:r>
          </w:p>
        </w:tc>
      </w:tr>
      <w:tr>
        <w:trPr/>
        <w:tc>
          <w:tcPr>
            <w:tcW w:w="32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0,16</w:t>
            </w:r>
          </w:p>
        </w:tc>
      </w:tr>
      <w:tr>
        <w:trPr/>
        <w:tc>
          <w:tcPr>
            <w:tcW w:w="328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0,04</w:t>
            </w:r>
          </w:p>
        </w:tc>
      </w:tr>
      <w:tr>
        <w:trPr/>
        <w:tc>
          <w:tcPr>
            <w:tcW w:w="328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0,03</w:t>
            </w:r>
          </w:p>
        </w:tc>
      </w:tr>
      <w:tr>
        <w:trPr/>
        <w:tc>
          <w:tcPr>
            <w:tcW w:w="328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0,02</w:t>
            </w:r>
          </w:p>
        </w:tc>
      </w:tr>
      <w:tr>
        <w:trPr/>
        <w:tc>
          <w:tcPr>
            <w:tcW w:w="328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285" w:type="dxa"/>
            <w:noWrap/>
          </w:tcPr>
          <w:p>
            <w:pPr/>
            <w:r>
              <w:rPr/>
              <w:t xml:space="preserve">1,07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Բնական կորստի չափը մազութի համար՝ բաց հորային ամբարներում պահպանման, ընդունման (բեռնաբարձման) և դատարկման (բեռնաթափման) դեպքում կգ-ներով 1 տոննա մազութի համար կազմում է 2.36 կգ:</w:t>
      </w:r>
    </w:p>
    <w:p>
      <w:pPr>
        <w:numPr>
          <w:ilvl w:val="0"/>
          <w:numId w:val="6"/>
        </w:numPr>
      </w:pPr>
      <w:r>
        <w:rPr/>
        <w:t xml:space="preserve">Նավթամթերքի բնական կորստի չափը տարողություններից տրանսպորտային միջոցների համապատասխան տարողություններ ընդունման (բեռնաբարձման) դեպքում ներկայացվում է Աղյուսակ N 3-ով: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Աղյուսակ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 3 </w:t>
      </w:r>
    </w:p>
    <w:p>
      <w:pPr>
        <w:jc w:val="end"/>
      </w:pPr>
      <w:r>
        <w:rPr>
          <w:b w:val="1"/>
          <w:bCs w:val="1"/>
        </w:rPr>
        <w:t xml:space="preserve">(կգ-ներով 1 տոննա բարձվող նավթամթերքի քանակի)</w:t>
      </w:r>
    </w:p>
    <w:tbl>
      <w:tblGrid>
        <w:gridCol w:w="3345" w:type="dxa"/>
        <w:gridCol w:w="3345" w:type="dxa"/>
        <w:gridCol w:w="3345" w:type="dxa"/>
      </w:tblGrid>
      <w:tblPr>
        <w:tblW w:w="0" w:type="auto"/>
        <w:tblLayout w:type="autofit"/>
      </w:tblPr>
      <w:tr>
        <w:trPr/>
        <w:tc>
          <w:tcPr>
            <w:tcW w:w="3345" w:type="dxa"/>
            <w:noWrap/>
          </w:tcPr>
          <w:p>
            <w:pPr/>
            <w:r>
              <w:rPr>
                <w:b w:val="1"/>
                <w:bCs w:val="1"/>
              </w:rPr>
              <w:t xml:space="preserve">Տարողության տեսակ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345" w:type="dxa"/>
            <w:noWrap/>
          </w:tcPr>
          <w:p>
            <w:pPr/>
            <w:r>
              <w:rPr>
                <w:b w:val="1"/>
                <w:bCs w:val="1"/>
              </w:rPr>
              <w:t xml:space="preserve">Նավթամթերքի դաս</w:t>
            </w:r>
          </w:p>
        </w:tc>
        <w:tc>
          <w:tcPr>
            <w:tcW w:w="3345" w:type="dxa"/>
            <w:noWrap/>
          </w:tcPr>
          <w:p>
            <w:pPr/>
            <w:r>
              <w:rPr>
                <w:b w:val="1"/>
                <w:bCs w:val="1"/>
              </w:rPr>
              <w:t xml:space="preserve">Կորստի չափը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>
                <w:b w:val="1"/>
                <w:bCs w:val="1"/>
              </w:rPr>
              <w:t xml:space="preserve">Երկաթուղային գլանատակառներ (վագոն ցիստեռներ)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0,16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0,12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0,02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0,02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0,025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0,05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>
                <w:b w:val="1"/>
                <w:bCs w:val="1"/>
              </w:rPr>
              <w:t xml:space="preserve">Ավտոցիստեռներ (բենզավոզներ)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0,14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0,11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0,02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0,02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0,025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0,05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>
                <w:b w:val="1"/>
                <w:bCs w:val="1"/>
              </w:rPr>
              <w:t xml:space="preserve">Ջրային տրանսպորտ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0,15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0,11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0,02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0,018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0,02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0,05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Նավթամթերքի տարողություններում պահպանման ընթացքում բնական կորուստների չափերը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Նավթամթերքի տարողություններում պահպանման դեպքում բնական կորստի չափը հաշվարկվում է փաստաթղթերով ձևակերպված պահուստավորման ընդունված ու տարողություններում պահվող նավթամթերքի միջին ամսական փաստացի զանգվածը բազմապատկելով Աղյուսակ N 4-ում և Աղյուսակ N 5-ում ներկայացված կորստի չափերով:</w:t>
      </w:r>
    </w:p>
    <w:p>
      <w:pPr>
        <w:numPr>
          <w:ilvl w:val="0"/>
          <w:numId w:val="7"/>
        </w:numPr>
      </w:pPr>
      <w:r>
        <w:rPr/>
        <w:t xml:space="preserve">Պահվող նավթամթերքի միջին ամսական փաստացի զանգվածը հաշվարկվում է որպես ամսվա ընթացքում յուրաքանչյուր օրացուցային օրվա ավարտին տարողություններում պահվող նավթամթերքի զանգվածների միջին թվաբանական մեծություն:</w:t>
      </w:r>
    </w:p>
    <w:p>
      <w:pPr>
        <w:numPr>
          <w:ilvl w:val="0"/>
          <w:numId w:val="7"/>
        </w:numPr>
      </w:pPr>
      <w:r>
        <w:rPr/>
        <w:t xml:space="preserve">Կորստի նորմերը սահմանվում են ելնելով նավթամթերքի դասից, հաշվի առնելով նաև բեռնաբարձման և բեռնաթափման հետևանքով նավթամթերքի բնական կորուստների առաջացումը:</w:t>
      </w:r>
    </w:p>
    <w:p>
      <w:pPr>
        <w:numPr>
          <w:ilvl w:val="0"/>
          <w:numId w:val="7"/>
        </w:numPr>
      </w:pPr>
      <w:r>
        <w:rPr/>
        <w:t xml:space="preserve">Առաջին և երկրորդ խմբի նավթամթերքի բնական կորստի չափը տարողություններում պահպանման </w:t>
      </w:r>
      <w:r>
        <w:rPr>
          <w:b w:val="1"/>
          <w:bCs w:val="1"/>
        </w:rPr>
        <w:t xml:space="preserve">յուրաքանչյուր</w:t>
      </w:r>
      <w:r>
        <w:rPr/>
        <w:t xml:space="preserve"> ամսվա ընթացքում ներկայացվում է Աղյուսակ N 4-ով:</w:t>
      </w:r>
    </w:p>
    <w:p>
      <w:pPr/>
      <w:r>
        <w:rPr>
          <w:b w:val="1"/>
          <w:bCs w:val="1"/>
        </w:rPr>
        <w:t xml:space="preserve">Աղյուսակ </w:t>
      </w:r>
      <w:r>
        <w:rPr>
          <w:b w:val="1"/>
          <w:bCs w:val="1"/>
        </w:rPr>
        <w:t xml:space="preserve">N 4</w:t>
      </w:r>
    </w:p>
    <w:p>
      <w:pPr/>
      <w:r>
        <w:rPr>
          <w:b w:val="1"/>
          <w:bCs w:val="1"/>
        </w:rPr>
        <w:t xml:space="preserve">(կգ-ներով 1 տոննա պահպանվող նավթամթերքի քանակի համար, ամսական կտրվածքով)</w:t>
      </w:r>
    </w:p>
    <w:p>
      <w:pPr/>
      <w:r>
        <w:rPr>
          <w:b w:val="1"/>
          <w:bCs w:val="1"/>
        </w:rPr>
        <w:t xml:space="preserve"> </w:t>
      </w:r>
    </w:p>
    <w:tbl>
      <w:tblGrid>
        <w:gridCol w:w="1590" w:type="dxa"/>
        <w:gridCol w:w="1305" w:type="dxa"/>
        <w:gridCol w:w="1305" w:type="dxa"/>
        <w:gridCol w:w="1305" w:type="dxa"/>
        <w:gridCol w:w="1590" w:type="dxa"/>
        <w:gridCol w:w="1440" w:type="dxa"/>
        <w:gridCol w:w="1860" w:type="dxa"/>
      </w:tblGrid>
      <w:tblPr>
        <w:tblW w:w="10410" w:type="dxa"/>
        <w:tblLayout w:type="autofit"/>
      </w:tblPr>
      <w:tr>
        <w:trPr/>
        <w:tc>
          <w:tcPr>
            <w:tcW w:w="1590" w:type="dxa"/>
            <w:noWrap/>
          </w:tcPr>
          <w:p>
            <w:pPr/>
            <w:r>
              <w:rPr>
                <w:b w:val="1"/>
                <w:bCs w:val="1"/>
              </w:rPr>
              <w:t xml:space="preserve">Տարողության տեսակ</w:t>
            </w:r>
          </w:p>
        </w:tc>
        <w:tc>
          <w:tcPr>
            <w:tcW w:w="1305" w:type="dxa"/>
            <w:noWrap/>
          </w:tcPr>
          <w:p>
            <w:pPr/>
            <w:r>
              <w:rPr>
                <w:b w:val="1"/>
                <w:bCs w:val="1"/>
              </w:rPr>
              <w:t xml:space="preserve">Նավթա մթերքի դաս</w:t>
            </w:r>
          </w:p>
        </w:tc>
        <w:tc>
          <w:tcPr>
            <w:tcW w:w="13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89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Կորստի չափը</w:t>
            </w:r>
          </w:p>
        </w:tc>
      </w:tr>
      <w:tr>
        <w:trPr/>
        <w:tc>
          <w:tcPr>
            <w:tcW w:w="13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89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Տարողությունների ծավալը ըստ մետր խորանարդ</w:t>
            </w:r>
          </w:p>
        </w:tc>
      </w:tr>
      <w:tr>
        <w:trPr/>
        <w:tc>
          <w:tcPr>
            <w:tcW w:w="1305" w:type="dxa"/>
            <w:noWrap/>
          </w:tcPr>
          <w:p>
            <w:pPr/>
            <w:r>
              <w:rPr>
                <w:b w:val="1"/>
                <w:bCs w:val="1"/>
              </w:rPr>
              <w:t xml:space="preserve">Մինչև</w:t>
            </w:r>
            <w:r>
              <w:rPr>
                <w:b w:val="1"/>
                <w:bCs w:val="1"/>
              </w:rPr>
              <w:t xml:space="preserve"> 400 (մ</w:t>
            </w:r>
            <w:r>
              <w:rPr>
                <w:b w:val="1"/>
                <w:bCs w:val="1"/>
                <w:vertAlign w:val="superscript"/>
              </w:rPr>
              <w:t xml:space="preserve">3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1305" w:type="dxa"/>
            <w:noWrap/>
          </w:tcPr>
          <w:p>
            <w:pPr/>
            <w:r>
              <w:rPr>
                <w:b w:val="1"/>
                <w:bCs w:val="1"/>
              </w:rPr>
              <w:t xml:space="preserve">400-</w:t>
            </w:r>
            <w:r>
              <w:rPr>
                <w:b w:val="1"/>
                <w:bCs w:val="1"/>
              </w:rPr>
              <w:t xml:space="preserve">ից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մինչև</w:t>
            </w:r>
            <w:r>
              <w:rPr>
                <w:b w:val="1"/>
                <w:bCs w:val="1"/>
              </w:rPr>
              <w:t xml:space="preserve"> 700 (մ</w:t>
            </w:r>
            <w:r>
              <w:rPr>
                <w:b w:val="1"/>
                <w:bCs w:val="1"/>
                <w:vertAlign w:val="superscript"/>
              </w:rPr>
              <w:t xml:space="preserve">3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1590" w:type="dxa"/>
            <w:noWrap/>
          </w:tcPr>
          <w:p>
            <w:pPr/>
            <w:r>
              <w:rPr>
                <w:b w:val="1"/>
                <w:bCs w:val="1"/>
              </w:rPr>
              <w:t xml:space="preserve">700-</w:t>
            </w:r>
            <w:r>
              <w:rPr>
                <w:b w:val="1"/>
                <w:bCs w:val="1"/>
              </w:rPr>
              <w:t xml:space="preserve">ից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մինչև</w:t>
            </w:r>
            <w:r>
              <w:rPr>
                <w:b w:val="1"/>
                <w:bCs w:val="1"/>
              </w:rPr>
              <w:t xml:space="preserve"> 1000 (մ</w:t>
            </w:r>
            <w:r>
              <w:rPr>
                <w:b w:val="1"/>
                <w:bCs w:val="1"/>
                <w:vertAlign w:val="superscript"/>
              </w:rPr>
              <w:t xml:space="preserve">3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1440" w:type="dxa"/>
            <w:noWrap/>
          </w:tcPr>
          <w:p>
            <w:pPr/>
            <w:r>
              <w:rPr>
                <w:b w:val="1"/>
                <w:bCs w:val="1"/>
              </w:rPr>
              <w:t xml:space="preserve">1000-</w:t>
            </w:r>
            <w:r>
              <w:rPr>
                <w:b w:val="1"/>
                <w:bCs w:val="1"/>
              </w:rPr>
              <w:t xml:space="preserve">ից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մինչև</w:t>
            </w:r>
            <w:r>
              <w:rPr>
                <w:b w:val="1"/>
                <w:bCs w:val="1"/>
              </w:rPr>
              <w:t xml:space="preserve"> 2000 (մ</w:t>
            </w:r>
            <w:r>
              <w:rPr>
                <w:b w:val="1"/>
                <w:bCs w:val="1"/>
                <w:vertAlign w:val="superscript"/>
              </w:rPr>
              <w:t xml:space="preserve">3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1860" w:type="dxa"/>
            <w:noWrap/>
          </w:tcPr>
          <w:p>
            <w:pPr/>
            <w:r>
              <w:rPr>
                <w:b w:val="1"/>
                <w:bCs w:val="1"/>
              </w:rPr>
              <w:t xml:space="preserve">2000 </w:t>
            </w:r>
            <w:r>
              <w:rPr>
                <w:b w:val="1"/>
                <w:bCs w:val="1"/>
              </w:rPr>
              <w:t xml:space="preserve">և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ավելի </w:t>
            </w:r>
            <w:r>
              <w:rPr>
                <w:b w:val="1"/>
                <w:bCs w:val="1"/>
              </w:rPr>
              <w:t xml:space="preserve">(մ</w:t>
            </w:r>
            <w:r>
              <w:rPr>
                <w:b w:val="1"/>
                <w:bCs w:val="1"/>
                <w:vertAlign w:val="superscript"/>
              </w:rPr>
              <w:t xml:space="preserve">3</w:t>
            </w:r>
            <w:r>
              <w:rPr>
                <w:b w:val="1"/>
                <w:bCs w:val="1"/>
              </w:rPr>
              <w:t xml:space="preserve">)</w:t>
            </w:r>
          </w:p>
        </w:tc>
      </w:tr>
      <w:tr>
        <w:trPr/>
        <w:tc>
          <w:tcPr>
            <w:tcW w:w="1590" w:type="dxa"/>
            <w:noWrap/>
          </w:tcPr>
          <w:p>
            <w:pPr/>
            <w:r>
              <w:rPr>
                <w:b w:val="1"/>
                <w:bCs w:val="1"/>
              </w:rPr>
              <w:t xml:space="preserve">Վերգետ նյա մետաղական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0,78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0.74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0,71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0.51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0,32</w:t>
            </w:r>
          </w:p>
        </w:tc>
      </w:tr>
      <w:tr>
        <w:trPr/>
        <w:tc>
          <w:tcPr>
            <w:tcW w:w="1590" w:type="dxa"/>
            <w:noWrap/>
          </w:tcPr>
          <w:p>
            <w:pPr/>
            <w:r>
              <w:rPr>
                <w:b w:val="1"/>
                <w:bCs w:val="1"/>
              </w:rPr>
              <w:t xml:space="preserve">Վերգետ նյա մետաղական ներքին պոնտոններով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0,18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0.17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0,16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0.12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0,09</w:t>
            </w:r>
          </w:p>
        </w:tc>
      </w:tr>
      <w:tr>
        <w:trPr/>
        <w:tc>
          <w:tcPr>
            <w:tcW w:w="1590" w:type="dxa"/>
            <w:noWrap/>
          </w:tcPr>
          <w:p>
            <w:pPr/>
            <w:r>
              <w:rPr>
                <w:b w:val="1"/>
                <w:bCs w:val="1"/>
              </w:rPr>
              <w:t xml:space="preserve">Վերգետ նյա մետաղական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0,7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0.63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0,57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0.44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0,32</w:t>
            </w:r>
          </w:p>
        </w:tc>
      </w:tr>
      <w:tr>
        <w:trPr/>
        <w:tc>
          <w:tcPr>
            <w:tcW w:w="1590" w:type="dxa"/>
            <w:noWrap/>
          </w:tcPr>
          <w:p>
            <w:pPr/>
            <w:r>
              <w:rPr>
                <w:b w:val="1"/>
                <w:bCs w:val="1"/>
              </w:rPr>
              <w:t xml:space="preserve">Վերգետ նյա մետաղական ներքին պոնտոններով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0,15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0.14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0,13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0.11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0,085</w:t>
            </w:r>
          </w:p>
        </w:tc>
      </w:tr>
      <w:tr>
        <w:trPr/>
        <w:tc>
          <w:tcPr>
            <w:tcW w:w="1590" w:type="dxa"/>
            <w:noWrap/>
          </w:tcPr>
          <w:p>
            <w:pPr/>
            <w:r>
              <w:rPr>
                <w:b w:val="1"/>
                <w:bCs w:val="1"/>
              </w:rPr>
              <w:t xml:space="preserve">Ստորգետ նյա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515" w:type="dxa"/>
            <w:gridSpan w:val="5"/>
            <w:noWrap/>
          </w:tcPr>
          <w:p>
            <w:pPr/>
            <w:r>
              <w:rPr/>
              <w:t xml:space="preserve">0,15</w:t>
            </w:r>
          </w:p>
        </w:tc>
      </w:tr>
      <w:tr>
        <w:trPr/>
        <w:tc>
          <w:tcPr>
            <w:tcW w:w="1590" w:type="dxa"/>
            <w:noWrap/>
          </w:tcPr>
          <w:p>
            <w:pPr/>
            <w:r>
              <w:rPr>
                <w:b w:val="1"/>
                <w:bCs w:val="1"/>
              </w:rPr>
              <w:t xml:space="preserve">Ստորգետ նյա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7515" w:type="dxa"/>
            <w:gridSpan w:val="5"/>
            <w:noWrap/>
          </w:tcPr>
          <w:p>
            <w:pPr/>
            <w:r>
              <w:rPr/>
              <w:t xml:space="preserve">0,05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8"/>
        </w:numPr>
      </w:pPr>
      <w:r>
        <w:rPr/>
        <w:t xml:space="preserve">3-րդ, 4-րդ, 5-րդ, 6-րդ դասերի նավթամթերքի բնական կորստի չափը տարողություններում պահպանման յուրաքանչյուր ամսվա ընթացքում ներկայացվում է Աղյուսակ N 5-ով: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Աղյուսակ N 5</w:t>
      </w:r>
    </w:p>
    <w:p>
      <w:pPr/>
      <w:r>
        <w:rPr>
          <w:b w:val="1"/>
          <w:bCs w:val="1"/>
        </w:rPr>
        <w:t xml:space="preserve">(կգ-ներով 1 տոննա պահպանվող նավթամթերքի քանակի համար, ամսական կտրվածքով)</w:t>
      </w:r>
    </w:p>
    <w:tbl>
      <w:tblGrid>
        <w:gridCol w:w="2370" w:type="dxa"/>
        <w:gridCol w:w="1455" w:type="dxa"/>
        <w:gridCol w:w="1455" w:type="dxa"/>
        <w:gridCol w:w="1455" w:type="dxa"/>
        <w:gridCol w:w="1455" w:type="dxa"/>
      </w:tblGrid>
      <w:tblPr>
        <w:tblW w:w="8190" w:type="dxa"/>
        <w:tblLayout w:type="autofit"/>
      </w:tblPr>
      <w:tr>
        <w:trPr/>
        <w:tc>
          <w:tcPr>
            <w:tcW w:w="2370" w:type="dxa"/>
            <w:noWrap/>
          </w:tcPr>
          <w:p>
            <w:pPr/>
            <w:r>
              <w:rPr>
                <w:b w:val="1"/>
                <w:bCs w:val="1"/>
              </w:rPr>
              <w:t xml:space="preserve">Տարողության տեսակ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82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Կորստի չափը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455" w:type="dx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455" w:type="dxa"/>
            <w:noWrap/>
          </w:tcPr>
          <w:p>
            <w:pPr/>
            <w:r>
              <w:rPr>
                <w:b w:val="1"/>
                <w:bCs w:val="1"/>
              </w:rPr>
              <w:t xml:space="preserve">4</w:t>
            </w:r>
          </w:p>
        </w:tc>
        <w:tc>
          <w:tcPr>
            <w:tcW w:w="1455" w:type="dxa"/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  <w:tc>
          <w:tcPr>
            <w:tcW w:w="1455" w:type="dxa"/>
            <w:noWrap/>
          </w:tcPr>
          <w:p>
            <w:pPr/>
            <w:r>
              <w:rPr>
                <w:b w:val="1"/>
                <w:bCs w:val="1"/>
              </w:rPr>
              <w:t xml:space="preserve">6</w:t>
            </w:r>
          </w:p>
        </w:tc>
      </w:tr>
      <w:tr>
        <w:trPr/>
        <w:tc>
          <w:tcPr>
            <w:tcW w:w="2370" w:type="dxa"/>
            <w:noWrap/>
          </w:tcPr>
          <w:p>
            <w:pPr/>
            <w:r>
              <w:rPr>
                <w:b w:val="1"/>
                <w:bCs w:val="1"/>
              </w:rPr>
              <w:t xml:space="preserve">Վերգետնյա մետաղական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0,13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0,04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0,12</w:t>
            </w:r>
          </w:p>
        </w:tc>
      </w:tr>
      <w:tr>
        <w:trPr/>
        <w:tc>
          <w:tcPr>
            <w:tcW w:w="2370" w:type="dxa"/>
            <w:noWrap/>
          </w:tcPr>
          <w:p>
            <w:pPr/>
            <w:r>
              <w:rPr>
                <w:b w:val="1"/>
                <w:bCs w:val="1"/>
              </w:rPr>
              <w:t xml:space="preserve">Ստորգետնյա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0,02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0,12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Աղյուսակ N 6.</w:t>
      </w:r>
    </w:p>
    <w:p>
      <w:pPr/>
      <w:r>
        <w:rPr/>
        <w:t xml:space="preserve"> </w:t>
      </w:r>
    </w:p>
    <w:tbl>
      <w:tblGrid>
        <w:gridCol w:w="2070" w:type="dxa"/>
        <w:gridCol w:w="8100" w:type="dxa"/>
        <w:gridCol w:w="0" w:type="dxa"/>
      </w:tblGrid>
      <w:tblPr>
        <w:tblW w:w="10170" w:type="dxa"/>
        <w:tblLayout w:type="autofit"/>
      </w:tblPr>
      <w:tr>
        <w:trPr/>
        <w:tc>
          <w:tcPr>
            <w:tcW w:w="2070" w:type="dxa"/>
            <w:noWrap/>
          </w:tcPr>
          <w:p>
            <w:pPr/>
            <w:r>
              <w:rPr>
                <w:b w:val="1"/>
                <w:bCs w:val="1"/>
              </w:rPr>
              <w:t xml:space="preserve">Նավթամթերքի դաս</w:t>
            </w:r>
          </w:p>
        </w:tc>
        <w:tc>
          <w:tcPr>
            <w:tcW w:w="8100" w:type="dxa"/>
            <w:noWrap/>
          </w:tcPr>
          <w:p>
            <w:pPr/>
            <w:r>
              <w:rPr>
                <w:b w:val="1"/>
                <w:bCs w:val="1"/>
              </w:rPr>
              <w:t xml:space="preserve">Նավթամթերքի տեսակները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70" w:type="dxa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8100" w:type="dxa"/>
            <w:noWrap/>
          </w:tcPr>
          <w:p>
            <w:pPr/>
            <w:r>
              <w:rPr/>
              <w:t xml:space="preserve">Ավտոմոբիլային բենզիններ բոլոր տեսակների.</w:t>
            </w:r>
          </w:p>
          <w:p>
            <w:pPr/>
            <w:r>
              <w:rPr/>
              <w:t xml:space="preserve">Ուղղակի թորված բենզին.</w:t>
            </w:r>
          </w:p>
          <w:p>
            <w:pPr/>
            <w:r>
              <w:rPr/>
              <w:t xml:space="preserve">Գազի կայուն կոնդենսատ.</w:t>
            </w:r>
          </w:p>
          <w:p>
            <w:pPr/>
            <w:r>
              <w:rPr/>
              <w:t xml:space="preserve">Բենզին գազային կայուն (գազային կոնդենսատից).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70" w:type="dxa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8100" w:type="dxa"/>
            <w:noWrap/>
          </w:tcPr>
          <w:p>
            <w:pPr/>
            <w:r>
              <w:rPr/>
              <w:t xml:space="preserve">Նավթային լուծիչներ բոլոր տեսակների՝ +50</w:t>
            </w:r>
            <w:r>
              <w:rPr>
                <w:vertAlign w:val="superscript"/>
              </w:rPr>
              <w:t xml:space="preserve">0</w:t>
            </w:r>
            <w:r>
              <w:rPr/>
              <w:t xml:space="preserve"> C-ից մինչև +100</w:t>
            </w:r>
            <w:r>
              <w:rPr>
                <w:vertAlign w:val="superscript"/>
              </w:rPr>
              <w:t xml:space="preserve">0</w:t>
            </w:r>
            <w:r>
              <w:rPr/>
              <w:t xml:space="preserve"> C եռման ջերմաստիճանով</w:t>
            </w:r>
          </w:p>
          <w:p>
            <w:pPr/>
            <w:r>
              <w:rPr/>
              <w:t xml:space="preserve">Ավիացիոն բենզիններ բոլոր տեսակների</w:t>
            </w:r>
          </w:p>
          <w:p>
            <w:pPr/>
            <w:r>
              <w:rPr/>
              <w:t xml:space="preserve">Տեխնիկական իզոoկտան</w:t>
            </w:r>
          </w:p>
          <w:p>
            <w:pPr/>
            <w:r>
              <w:rPr/>
              <w:t xml:space="preserve">Նորմալ հեպտան</w:t>
            </w:r>
          </w:p>
          <w:p>
            <w:pPr/>
            <w:r>
              <w:rPr/>
              <w:t xml:space="preserve">Նավթային բենզոլ</w:t>
            </w:r>
          </w:p>
          <w:p>
            <w:pPr/>
            <w:r>
              <w:rPr/>
              <w:t xml:space="preserve">Օգտագործված նավթամթերքներ CHO մակնիշի</w:t>
            </w:r>
          </w:p>
          <w:p>
            <w:pPr/>
            <w:r>
              <w:rPr/>
              <w:t xml:space="preserve">Ռեակտիվ շարժիչների վառելիք T-2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70" w:type="dx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8100" w:type="dxa"/>
            <w:noWrap/>
          </w:tcPr>
          <w:p>
            <w:pPr/>
            <w:r>
              <w:rPr/>
              <w:t xml:space="preserve">Նավթային լուծիչներ բոլոր տեսակների +100</w:t>
            </w:r>
            <w:r>
              <w:rPr>
                <w:vertAlign w:val="superscript"/>
              </w:rPr>
              <w:t xml:space="preserve">0</w:t>
            </w:r>
            <w:r>
              <w:rPr/>
              <w:t xml:space="preserve"> C-ից բարձր եռման ջերմաստիճանով</w:t>
            </w:r>
          </w:p>
          <w:p>
            <w:pPr/>
            <w:r>
              <w:rPr/>
              <w:t xml:space="preserve">Ռեակտիվ շարժիչների վառելիք +100</w:t>
            </w:r>
            <w:r>
              <w:rPr>
                <w:vertAlign w:val="superscript"/>
              </w:rPr>
              <w:t xml:space="preserve">0</w:t>
            </w:r>
            <w:r>
              <w:rPr/>
              <w:t xml:space="preserve"> C-ից մինչև +150</w:t>
            </w:r>
            <w:r>
              <w:rPr>
                <w:vertAlign w:val="superscript"/>
              </w:rPr>
              <w:t xml:space="preserve">0</w:t>
            </w:r>
            <w:r>
              <w:rPr/>
              <w:t xml:space="preserve"> C եռման ջերմաստիճանով, բացառությամբ T-2</w:t>
            </w:r>
          </w:p>
          <w:p>
            <w:pPr/>
            <w:r>
              <w:rPr/>
              <w:t xml:space="preserve">Նավթային սոլվենտ</w:t>
            </w:r>
          </w:p>
          <w:p>
            <w:pPr/>
            <w:r>
              <w:rPr/>
              <w:t xml:space="preserve">Տեխնիկական կերոսին</w:t>
            </w:r>
          </w:p>
          <w:p>
            <w:pPr/>
            <w:r>
              <w:rPr/>
              <w:t xml:space="preserve">Լիգրոյին</w:t>
            </w:r>
          </w:p>
          <w:p>
            <w:pPr/>
            <w:r>
              <w:rPr/>
              <w:t xml:space="preserve">Նավթային քսիլոլ</w:t>
            </w:r>
          </w:p>
          <w:p>
            <w:pPr/>
            <w:r>
              <w:rPr/>
              <w:t xml:space="preserve">Նավթային տոլուոլ</w:t>
            </w:r>
          </w:p>
          <w:p>
            <w:pPr/>
            <w:r>
              <w:rPr/>
              <w:t xml:space="preserve">Էթիլբենզոլ տեխնիկական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70" w:type="dxa"/>
            <w:noWrap/>
          </w:tcPr>
          <w:p>
            <w:pPr/>
            <w:r>
              <w:rPr>
                <w:b w:val="1"/>
                <w:bCs w:val="1"/>
              </w:rPr>
              <w:t xml:space="preserve">4</w:t>
            </w:r>
          </w:p>
        </w:tc>
        <w:tc>
          <w:tcPr>
            <w:tcW w:w="8100" w:type="dxa"/>
            <w:noWrap/>
          </w:tcPr>
          <w:p>
            <w:pPr/>
            <w:r>
              <w:rPr/>
              <w:t xml:space="preserve">Կեռոսին լուսավորման համար բոլոր տեսակների</w:t>
            </w:r>
          </w:p>
          <w:p>
            <w:pPr/>
            <w:r>
              <w:rPr/>
              <w:t xml:space="preserve">Դիզելային և նավային վառելիքներ մինուս 10</w:t>
            </w:r>
            <w:r>
              <w:rPr>
                <w:vertAlign w:val="superscript"/>
              </w:rPr>
              <w:t xml:space="preserve">0</w:t>
            </w:r>
            <w:r>
              <w:rPr/>
              <w:t xml:space="preserve"> C-ից ցածր պղտորման (սառեցման) կամ զտման սահմանային ջերմաստիճանով</w:t>
            </w:r>
          </w:p>
          <w:p>
            <w:pPr/>
            <w:r>
              <w:rPr/>
              <w:t xml:space="preserve">Ռեակտիվ շարժիչներ վառելիք, +150</w:t>
            </w:r>
            <w:r>
              <w:rPr>
                <w:vertAlign w:val="superscript"/>
              </w:rPr>
              <w:t xml:space="preserve">0</w:t>
            </w:r>
            <w:r>
              <w:rPr>
                <w:vertAlign w:val="superscript"/>
              </w:rPr>
              <w:t xml:space="preserve"> </w:t>
            </w:r>
            <w:r>
              <w:rPr/>
              <w:t xml:space="preserve">C-ից բարձր եռման ջերմաստիճանով</w:t>
            </w:r>
          </w:p>
          <w:p>
            <w:pPr/>
            <w:r>
              <w:rPr/>
              <w:t xml:space="preserve">Իզոպռոպիլբենզոլ տեխնիկական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70" w:type="dxa"/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  <w:tc>
          <w:tcPr>
            <w:tcW w:w="8100" w:type="dxa"/>
            <w:noWrap/>
          </w:tcPr>
          <w:p>
            <w:pPr/>
            <w:r>
              <w:rPr/>
              <w:t xml:space="preserve">Դիզելային և նավային վառելիքներ մինուս 10</w:t>
            </w:r>
            <w:r>
              <w:rPr>
                <w:vertAlign w:val="superscript"/>
              </w:rPr>
              <w:t xml:space="preserve">0</w:t>
            </w:r>
            <w:r>
              <w:rPr/>
              <w:t xml:space="preserve"> C-ից բարձր պղտորման (սառեցման) կամ զտման սահմանային ջերմաստիճանով</w:t>
            </w:r>
          </w:p>
          <w:p>
            <w:pPr/>
            <w:r>
              <w:rPr/>
              <w:t xml:space="preserve">Վառարանային վառելիք կենցաղային</w:t>
            </w:r>
          </w:p>
          <w:p>
            <w:pPr/>
            <w:r>
              <w:rPr/>
              <w:t xml:space="preserve">Միջին և ցածր պտույտով դիզելային շարժիչային վառելիք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70" w:type="dxa"/>
            <w:noWrap/>
          </w:tcPr>
          <w:p>
            <w:pPr/>
            <w:r>
              <w:rPr>
                <w:b w:val="1"/>
                <w:bCs w:val="1"/>
              </w:rPr>
              <w:t xml:space="preserve">6</w:t>
            </w:r>
          </w:p>
        </w:tc>
        <w:tc>
          <w:tcPr>
            <w:tcW w:w="8100" w:type="dxa"/>
            <w:noWrap/>
          </w:tcPr>
          <w:p>
            <w:pPr/>
            <w:r>
              <w:rPr/>
              <w:t xml:space="preserve">Բոլոր տեսակի մազութներ</w:t>
            </w:r>
          </w:p>
          <w:p>
            <w:pPr/>
            <w:r>
              <w:rPr/>
              <w:t xml:space="preserve">Քսայուղեր բոլոր տեսակի</w:t>
            </w:r>
          </w:p>
          <w:p>
            <w:pPr/>
            <w:r>
              <w:rPr/>
              <w:t xml:space="preserve">Այլ հեղուկ նավթամթերքներ, որոնք պահանջում են տաքացում</w:t>
            </w:r>
          </w:p>
          <w:p>
            <w:pPr/>
            <w:r>
              <w:rPr/>
              <w:t xml:space="preserve">Օգտագործված նավթամթերքներ բացառությամբ CHO մակնիշի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BE3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ACE4E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562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E12452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C015F6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BD8D7A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56AC03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2026-04-03T17:13:56+04:00</dcterms:created>
  <dcterms:modified xsi:type="dcterms:W3CDTF">2026-04-03T17:13:56+04:00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