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«Ընկերությունների կողմից վճարվող բնապահպանական հարկի նպատակային օգտագործման մասին» Հայաստանի Հանրապետության օրենքում փոփոխություններ և լրացում կատարելու մասին</w:t>
      </w:r>
      <w:bookmarkEnd w:id="0"/>
    </w:p>
    <w:p>
      <w:pPr>
        <w:jc w:val="center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«ԸՆԿԵՐՈՒԹՅՈՒՆՆԵՐԻ ԿՈՂՄԻՑ ՎՃԱՐՎՈՂ ԲՆԱՊԱՀՊԱՆԱԿԱՆ ՀԱՐԿԻ ՆՊԱՏԱԿԱՅԻՆ ՕԳՏԱԳՈՐԾՄԱՆ ՄԱՍԻՆ» ՀԱՅԱՍՏԱՆԻ ՀԱՆՐԱՊԵՏՈՒԹՅԱՆ ՕՐԵՆՔՈՒՄ ՓՈՓՈԽՈՒԹՅՈՒՆՆԵՐ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«Ընկերությունների կողմից վճարվող բնապահպանական հարկի նպատակային օգտագործման մասին» 2001 թվականի հունիսի 11-ի ՀՕ-188 օրենքի (այսուհետ` Օրենք) 1-ին հոդվածի 1-ին պարբերությունը շարադրել հետևյալ խմբագրությամբ.</w:t>
      </w:r>
    </w:p>
    <w:p>
      <w:pPr/>
      <w:r>
        <w:rPr/>
        <w:t xml:space="preserve">«Հայաստանի Հանրապետությունում մետաղական օգտակար հանածոների արդյունահանման նպատակով ընդերքօգտագործման իրավունք ունեցող բոլոր ընկերությունների, «Արարատ ցեմենտ», «Հրազդանի ՋԷԿ», «Երևանի ՋԷԿ», «Գաջեգործ», «Հայկական ատոմային էլեկտրակայան», «Նաիրիտ» գործարան և «Գաջ» փակ բաժնետիրական ընկերությունների, «Հրազդան Ցեմենտ Քորփորեյշն», «Արմենիան Մոլիբդեն Փրոդաքշն» սահմանափակ պատասխանատվությամբ ընկերությունների, «Մաքուր երկաթ», «Ասկե-Գրուպ» և Չարենցավանի «Ձուլակենտրոն» բաց բաժնետիրական ընկերությունների (այսուհետ` ընկերություններ) կողմից վճարվող բնապահպանական հարկից մասհանումներ կատարվում և առանձին տողով արտացոլվում են այն համայնքների բյուջեներում, որոնց տարածքում նշված ընկերությունների գործունեությունը թողնում է վնասակար ազդեցություն:»: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3-րդ հոդվածի 1-ին պարբերության վերջին նախադասությունը շարադրել հետևյալ խմբագրությամբ.</w:t>
      </w:r>
    </w:p>
    <w:p>
      <w:pPr/>
      <w:r>
        <w:rPr/>
        <w:t xml:space="preserve">«Ծրագիրը յուրաքանչյուր տարի հրապարակվում է համայնքի ղեկավարի կողմից համայնքապետարանի կայքում և/կամ համապատասխան մարզպետարանի կայքում համայնքի ղեկավարի ներկայացմամբ:»: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3-րդ հոդվածի վերջին պարբերությունից հետո լրացնել նոր պարբերություն՝ հետևյալ բովանդակությամբ. «Ընթացիկ տարվա Ծրագրի իրականացման վերաբերյալ համայնքի ղեկավարը կազմում է հաշվետվություն և ներկայացնում համայնքի ավագանու հաստատմանը մինչև հաջորդ տարվա մարտի 1-ը: Համայնքի ավագանին ներկայացման օրվանից հետո՝ տասնհինգօրյա ժամկետում հաստատում է հաշվետվությունը: Հաշվետվությունը մինչև հաջորդ տարվա ապրիլի 1-ը հրապարակվում է համայնքի ղեկավարի կողմից համայնքապետարանի կայքում և/կամ համապատասխան մարզպետարանի կայքում համայնքի ղեկավարի ներկայացմամբ: Հաշվետվության ձևը մշակվում և հրամանով հաստատվում է տարածքային կառավարման բնագավառի պետական լիազորված մարմնի կողմից:»: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ՏԵՂԵԿԱՆՔ</w:t>
      </w:r>
    </w:p>
    <w:p>
      <w:pPr/>
      <w:r>
        <w:rPr>
          <w:b w:val="1"/>
          <w:bCs w:val="1"/>
        </w:rPr>
        <w:t xml:space="preserve">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առնչությամբ</w:t>
      </w:r>
      <w:r>
        <w:rPr/>
        <w:t xml:space="preserve"> </w:t>
      </w:r>
      <w:r>
        <w:rPr>
          <w:b w:val="1"/>
          <w:bCs w:val="1"/>
        </w:rPr>
        <w:t xml:space="preserve">ընդունվելիք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ակտերի</w:t>
      </w:r>
      <w:r>
        <w:rPr/>
        <w:t xml:space="preserve"> </w:t>
      </w:r>
      <w:r>
        <w:rPr>
          <w:b w:val="1"/>
          <w:bCs w:val="1"/>
        </w:rPr>
        <w:t xml:space="preserve">նախագծերը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դրանց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անհրաժեշտության</w:t>
      </w:r>
      <w:r>
        <w:rPr/>
        <w:t xml:space="preserve"> </w:t>
      </w:r>
      <w:r>
        <w:rPr>
          <w:b w:val="1"/>
          <w:bCs w:val="1"/>
        </w:rPr>
        <w:t xml:space="preserve">բացակայության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  <w:r>
        <w:rPr/>
        <w:t xml:space="preserve">Հայաստանի Հանրապետության Օրենքի նախագծի ընդունման առնչությամբ այլ իրավական ակտերում փոփոխություններ և/կամ լրացումներ կատարելու անհրաժեշտություն չկա: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ՏԵՂԵԿԱՆՔ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Իրավական ակտն ընդունելու կապակցությամբ պետական բյուջեում կամ</w:t>
      </w:r>
      <w:r>
        <w:rPr>
          <w:b w:val="1"/>
          <w:bCs w:val="1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>
      <w:pPr/>
      <w:r>
        <w:rPr/>
        <w:t xml:space="preserve"> Հայաստանի Հանրապետության Օրենքի նախագծի ընդունման կապակցությամբ Հայաստանի Հանրապետության պետական բյուջեում ծախսերի և եկամուտների էական ավելացումներ կամ նվազեցումներ չեն սպասվում: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2026-04-01T00:19:34+04:00</dcterms:created>
  <dcterms:modified xsi:type="dcterms:W3CDTF">2026-04-01T00:19:34+04:00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