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ՕՐԵՆՍԳՐՔՈՒՄ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ՔԱՂԱՔԱՑԻԱԿԱՆ ՕՐԵՆՍԳՐՔՈՒՄ ԼՐԱՑՈՒՄ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1998 թվականի մայիսի 5-ի ՀՕ-239 քաղաքացիական օրենսգիրքը  լրացնել հետևյալ բովանդակությամբ 1086.1-ին հոդվածով. </w:t>
      </w:r>
    </w:p>
    <w:tbl>
      <w:tblGrid>
        <w:gridCol w:w="2790" w:type="dxa"/>
        <w:gridCol w:w="6840" w:type="dxa"/>
      </w:tblGrid>
      <w:tblPr>
        <w:tblW w:w="9630" w:type="dxa"/>
        <w:tblLayout w:type="autofit"/>
      </w:tblPr>
      <w:tr>
        <w:trPr/>
        <w:tc>
          <w:tcPr>
            <w:tcW w:w="2790" w:type="dxa"/>
            <w:noWrap/>
          </w:tcPr>
          <w:p>
            <w:pPr/>
            <w:r>
              <w:rPr>
                <w:b w:val="1"/>
                <w:bCs w:val="1"/>
              </w:rPr>
              <w:t xml:space="preserve">«Հոդված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1086.1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6840" w:type="dxa"/>
            <w:noWrap/>
          </w:tcPr>
          <w:p>
            <w:pPr/>
            <w:r>
              <w:rPr>
                <w:b w:val="1"/>
                <w:bCs w:val="1"/>
              </w:rPr>
              <w:t xml:space="preserve">Աշխատողի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կյանքին կամ առողջությանը</w:t>
            </w:r>
            <w:r>
              <w:rPr>
                <w:b w:val="1"/>
                <w:bCs w:val="1"/>
              </w:rPr>
              <w:t xml:space="preserve"> պատճառ</w:t>
            </w:r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ած վնասի հատուց</w:t>
            </w:r>
            <w:r>
              <w:rPr>
                <w:b w:val="1"/>
                <w:bCs w:val="1"/>
              </w:rPr>
              <w:t xml:space="preserve">ումը պետական բյուջեի միջոցների հաշվին՝</w:t>
            </w:r>
            <w:r>
              <w:rPr>
                <w:b w:val="1"/>
                <w:bCs w:val="1"/>
              </w:rPr>
              <w:t xml:space="preserve"> գործատու հանդիսացող իրավաբանական անձի լուծարման կամ ֆիզիկական անձի գործունեության դադարեցման դեպքում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Աշխատողի կյանքին կամ առողջությանը պատճառված վնասի համար սահմանված կարգով պատասխանատու ճանաչված իրավաբանական անձի լուծարման կամ ֆիզիկական անձի գործունեության դադարեցման դեպքում, եթե տուժողը չի ստանում սույն օրենսգրքի 1086-րդ հոդվածի 2-րդ մասով նախատեսված վճարները՝ կյանքին կամ առողջությանը պատճառված վնասի հատուցումը կատարվում է պետական բյուջեի միջոցների հաշվին՝ Հայաստանի Հանրապետության կառավարության կողմից լիազորված մարմնի միջոցով։</w:t>
      </w:r>
    </w:p>
    <w:p>
      <w:pPr>
        <w:numPr>
          <w:ilvl w:val="0"/>
          <w:numId w:val="2"/>
        </w:numPr>
      </w:pPr>
      <w:r>
        <w:rPr/>
        <w:t xml:space="preserve">Սույն հոդվածով նախատեսված հատուցումը կատարվում է դիմելուն նախորդած երեք տարիների համար միանվագ, և այնուհետ ամենամսյա վճարումների տեսքով:</w:t>
      </w:r>
    </w:p>
    <w:p>
      <w:pPr>
        <w:numPr>
          <w:ilvl w:val="0"/>
          <w:numId w:val="2"/>
        </w:numPr>
      </w:pPr>
      <w:r>
        <w:rPr/>
        <w:t xml:space="preserve">Սույն հոդվածով նախատեսված հատուցման չափերը, կարգը և առանձնահատկությունները սահմանում է Հայաստանի Հանրապետության կառավարությունը։»: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  </w:t>
      </w:r>
      <w:r>
        <w:rPr/>
        <w:t xml:space="preserve">Սույն օրենքն ուժի մեջ է մտնում պաշտոնական հրապարակման օրվան հաջորդող տասներորդ օրը: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75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2026-04-03T20:35:44+04:00</dcterms:created>
  <dcterms:modified xsi:type="dcterms:W3CDTF">2026-04-03T20:35:44+04:00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