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«ՆՈՐՄԱՏԻՎ ԻՐԱՎԱԿԱՆ ԱԿՏԵՐԻ ՄԱՍԻՆ» ՕՐԵՆՔՈՒՄ ՓՈՓՈԽՈՒԹՅՈՒՆՆԵՐ ԿԱՏԱՐԵԼՈՒ ՄԱՍԻՆ</w:t>
      </w:r>
      <w:bookmarkEnd w:id="0"/>
    </w:p>
    <w:p>
      <w:pPr>
        <w:pStyle w:val="Heading3"/>
      </w:pPr>
      <w:r>
        <w:rPr>
          <w:b w:val="1"/>
          <w:bCs w:val="1"/>
        </w:rPr>
        <w:t xml:space="preserve">«</w:t>
      </w:r>
      <w:r>
        <w:rPr/>
        <w:t xml:space="preserve">ՆՈՐՄԱՏԻՎ ԻՐԱՎԱԿԱՆ ԱԿՏԵՐԻ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«Նորմատիվ իրավական ակտերի մասին» 2018 թվականի մարտի 21-ի ՀՕ-180-Ն օրենքի 45-րդ և 46-րդ հոդվածների 2-րդ մասերում «2019 թվականի» բառերը փոխարինել «2020 թվականի»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2026-04-01T19:09:39+04:00</dcterms:created>
  <dcterms:modified xsi:type="dcterms:W3CDTF">2026-04-01T19:09:39+04:00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