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ԱՊՐԻԼԻ 12-Ի ԹԻՎ 439-Ն ՈՐՈՇՄԱՆ ՄԵՋ ՓՈՓՈԽՈՒԹՅՈՒՆ ԵՎ ԼՐԱՑՈՒՄ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______________________2019 թվականի N __________-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ԱՊՐԻԼԻ 12-Ի ԹԻՎ 439-Ն ՈՐՈՇՄԱՆ ՄԵՋ ՓՈՓՈԽՈՒԹՅՈՒՆ ԵՎ ԼՐԱՑՈՒՄ ԿԱՏԱՐԵԼՈՒ ՄԱՍԻՆ 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34-րդ հոդվածի 1-ին մասը և «Ազդարարման համակարգի մասին» օրենքի 8-րդ հոդվածի 7-րդ մասը՝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ապրիլի 12-ի «Ազդարարման միասնական էլեկտրոնային հարթակի տեխնիկական նկարագիրը և վարման կարգը հաստատելու մասին» թիվ 439-Ն որոշման (այսուհետ` Որոշում) N 1 հավելվածը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Որոշման N 2 հավելվածը լրացնել հետևյալ բովանդակությամբ 9.1-րդ կետով.</w:t>
      </w:r>
    </w:p>
    <w:p>
      <w:pPr>
        <w:jc w:val="both"/>
      </w:pPr>
      <w:r>
        <w:rPr/>
        <w:t xml:space="preserve">«9.1. Եթե ներկայացված հաղորդումը հանցագործության մասին չէ, ապա Հայաստանի Հանրապետության գլխավոր դատախազությունը եռօրյա ժամկետում  հաղորդումը փաստաթղթային տարբերակով վերահասցեագրում է իրավասու մարմնին՝ ծանուցելով ազդարարին:»: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oրվանից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2019 թվականի-ի  </w:t>
      </w:r>
    </w:p>
    <w:p>
      <w:pPr>
        <w:jc w:val="end"/>
      </w:pPr>
      <w:r>
        <w:rPr>
          <w:b w:val="1"/>
          <w:bCs w:val="1"/>
        </w:rPr>
        <w:t xml:space="preserve">N     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«Հավելված N 1</w:t>
      </w:r>
    </w:p>
    <w:p>
      <w:pPr>
        <w:jc w:val="end"/>
      </w:pPr>
      <w:r>
        <w:rPr>
          <w:b w:val="1"/>
          <w:bCs w:val="1"/>
        </w:rPr>
        <w:t xml:space="preserve">ՀՀ կառավարության 2018 թվականի</w:t>
      </w:r>
    </w:p>
    <w:p>
      <w:pPr>
        <w:jc w:val="end"/>
      </w:pPr>
      <w:r>
        <w:rPr>
          <w:b w:val="1"/>
          <w:bCs w:val="1"/>
        </w:rPr>
        <w:t xml:space="preserve"> ապրիլի 12-ի N </w:t>
      </w:r>
      <w:r>
        <w:rPr>
          <w:b w:val="1"/>
          <w:bCs w:val="1"/>
        </w:rPr>
        <w:t xml:space="preserve">439-Ն </w:t>
      </w:r>
      <w:r>
        <w:rPr>
          <w:b w:val="1"/>
          <w:bCs w:val="1"/>
        </w:rPr>
        <w:t xml:space="preserve">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Տ Ե Խ Ն Ի Կ Ա Կ Ա 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Ն Կ Ա Ր Ա Գ Ի Ր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ԱԶԴԱՐԱՐՄԱՆ ՄԻԱՍՆԱԿԱՆ ԷԼԵԿՏՐՈՆԱՅԻՆ ՀԱՐԹԱԿԻ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Ազդարարման միասնական էլեկտրոնային հարթակը (այսուհետ՝ նաև միասնական էլեկտրոնային հարթակ) բաղկացած է հետևյալ բաժիններից՝ </w:t>
      </w:r>
      <w:r>
        <w:rPr>
          <w:b w:val="1"/>
          <w:bCs w:val="1"/>
        </w:rPr>
        <w:t xml:space="preserve">«Գլխավոր էջ»</w:t>
      </w:r>
      <w:r>
        <w:rPr/>
        <w:t xml:space="preserve">, </w:t>
      </w:r>
      <w:r>
        <w:rPr>
          <w:b w:val="1"/>
          <w:bCs w:val="1"/>
        </w:rPr>
        <w:t xml:space="preserve">«Ազդարարել»</w:t>
      </w:r>
      <w:r>
        <w:rPr/>
        <w:t xml:space="preserve">, </w:t>
      </w:r>
      <w:r>
        <w:rPr>
          <w:b w:val="1"/>
          <w:bCs w:val="1"/>
        </w:rPr>
        <w:t xml:space="preserve">«Հարթակի մասին»</w:t>
      </w:r>
      <w:r>
        <w:rPr/>
        <w:t xml:space="preserve">, </w:t>
      </w:r>
      <w:r>
        <w:rPr>
          <w:b w:val="1"/>
          <w:bCs w:val="1"/>
        </w:rPr>
        <w:t xml:space="preserve">«Հարթակի օգտագործման ուղեցույց»</w:t>
      </w:r>
      <w:r>
        <w:rPr/>
        <w:t xml:space="preserve">, </w:t>
      </w:r>
      <w:r>
        <w:rPr>
          <w:b w:val="1"/>
          <w:bCs w:val="1"/>
        </w:rPr>
        <w:t xml:space="preserve">«Վիճակագրություն»</w:t>
      </w:r>
      <w:r>
        <w:rPr/>
        <w:t xml:space="preserve">, </w:t>
      </w:r>
      <w:r>
        <w:rPr>
          <w:b w:val="1"/>
          <w:bCs w:val="1"/>
        </w:rPr>
        <w:t xml:space="preserve">«Հարթակի միջոցով բացահայտված հանցագործություններ»</w:t>
      </w:r>
      <w:r>
        <w:rPr/>
        <w:t xml:space="preserve">:</w:t>
      </w:r>
    </w:p>
    <w:p>
      <w:pPr>
        <w:numPr>
          <w:ilvl w:val="0"/>
          <w:numId w:val="4"/>
        </w:numPr>
      </w:pPr>
      <w:r>
        <w:rPr/>
        <w:t xml:space="preserve">Միասնական էլեկտրոնային հարթակի </w:t>
      </w:r>
      <w:r>
        <w:rPr>
          <w:b w:val="1"/>
          <w:bCs w:val="1"/>
        </w:rPr>
        <w:t xml:space="preserve">«Գլխավոր էջ</w:t>
      </w:r>
      <w:r>
        <w:rPr>
          <w:b w:val="1"/>
          <w:bCs w:val="1"/>
        </w:rPr>
        <w:t xml:space="preserve">»</w:t>
      </w:r>
      <w:r>
        <w:rPr/>
        <w:t xml:space="preserve"> բաժինը պարունակում է ընդհանուր տեղեկատվություն միասնական էլեկտրոնային հարթակի հիմնական նպատակի և միասնական էլեկտրոնային հարթակի միջոցով անանուն ազդարարում իրականացնելու դեպքում անանունության իրավական երաշխիքների վերաբերյալ, ինչպես նաև նախազգուշացում համացանցային հաղորդակարգի հասցեն (Internet Protocol Address) ծածկագրելու անհրաժեշտության վերաբերյալ: Սույն կետում նշված բաժնի միջոցով միասնական էլեկտրոնային հարթակի այցելուները ծանուցվում են, որ համացանցային հաղորդակարգի հասցեն (Internet Protocol Address) հնարավոր է ծածկագրել «ՏՈՌ» (TOR), «Օպերա» (Opera), «Օպերա Մինի» (Opera Mini) կամ այլ ցանցային դիտարկիչների (browser) միջոցով: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«Ազդարարել»</w:t>
      </w:r>
      <w:r>
        <w:rPr/>
        <w:t xml:space="preserve"> բաժինը նախատեսված է միասնական էլեկտրոնային հարթակի միջոցով հանցագործության վերաբերյալ հաղորդում ներկայացնելու համար: Միասնական էլեկտրոնային հարթակի այցելուները սույն կետում նշված բաժնի միջոցով կարող են՝</w:t>
      </w:r>
    </w:p>
    <w:p>
      <w:pPr>
        <w:numPr>
          <w:ilvl w:val="1"/>
          <w:numId w:val="4"/>
        </w:numPr>
      </w:pPr>
      <w:r>
        <w:rPr/>
        <w:t xml:space="preserve">ընտրել անանուն կամ տվյալներ ներկայացնելու միջոցով ազդարարման եղանակներից իրենց համար նախընտրելի տարբերակը.</w:t>
      </w:r>
    </w:p>
    <w:p>
      <w:pPr>
        <w:numPr>
          <w:ilvl w:val="1"/>
          <w:numId w:val="4"/>
        </w:numPr>
      </w:pPr>
      <w:r>
        <w:rPr/>
        <w:t xml:space="preserve">լրացնել համապատասխան դաշտերում ընտրված ազդարարման եղանակին համապատասխան տվյալները, ինչպես նաև ամրակցել հաղորդմանն առնչվող էլեկտրոնային նյութերը.</w:t>
      </w:r>
    </w:p>
    <w:p>
      <w:pPr>
        <w:numPr>
          <w:ilvl w:val="1"/>
          <w:numId w:val="4"/>
        </w:numPr>
      </w:pPr>
      <w:r>
        <w:rPr/>
        <w:t xml:space="preserve">լրացված տվյալները ստուգելուց հետո հաստատել հաղորդումը՝ այն ներկայացնելով համակարգի հաղորդումների կառավարման մոդուլ:</w:t>
      </w:r>
    </w:p>
    <w:p>
      <w:pPr>
        <w:numPr>
          <w:ilvl w:val="0"/>
          <w:numId w:val="4"/>
        </w:numPr>
      </w:pPr>
      <w:r>
        <w:rPr/>
        <w:t xml:space="preserve">Միասնական էլեկտրոնային հարթակի միջոցով հաղորդում ներկայացնելիս լրացվում է հետևյալ հարցերը պարունակող հարցաշարը.</w:t>
      </w:r>
    </w:p>
    <w:p>
      <w:pPr>
        <w:numPr>
          <w:ilvl w:val="1"/>
          <w:numId w:val="4"/>
        </w:numPr>
      </w:pPr>
      <w:r>
        <w:rPr/>
        <w:t xml:space="preserve">այն մարմինը, որտեղ կամ որի աշխատողի մասնակցությամբ, ըստ ազդարարի, կատարվել է հանցագործություն (պարտադիր).</w:t>
      </w:r>
    </w:p>
    <w:p>
      <w:pPr>
        <w:numPr>
          <w:ilvl w:val="1"/>
          <w:numId w:val="4"/>
        </w:numPr>
      </w:pPr>
      <w:r>
        <w:rPr/>
        <w:t xml:space="preserve">հանցագործություն կատարած անձի անունը, ազգանունը, պաշտոնը (ոչ պարտադիր).</w:t>
      </w:r>
    </w:p>
    <w:p>
      <w:pPr>
        <w:numPr>
          <w:ilvl w:val="1"/>
          <w:numId w:val="4"/>
        </w:numPr>
      </w:pPr>
      <w:r>
        <w:rPr/>
        <w:t xml:space="preserve">հանցագործությանն առնչություն ունեցող այլ անձի անունը, ազգանունը, պաշտոնը (ոչ պարտադիր).</w:t>
      </w:r>
    </w:p>
    <w:p>
      <w:pPr>
        <w:numPr>
          <w:ilvl w:val="1"/>
          <w:numId w:val="4"/>
        </w:numPr>
      </w:pPr>
      <w:r>
        <w:rPr/>
        <w:t xml:space="preserve">հանցագործության կատարման ամսաթիվը, իսկ եթե դա հայտնի չէ, ապա այն ժամանակագրական միջակայքը, երբ տեղի է ունեցել հանցագործությունը (պարտադիր).</w:t>
      </w:r>
    </w:p>
    <w:p>
      <w:pPr>
        <w:numPr>
          <w:ilvl w:val="1"/>
          <w:numId w:val="4"/>
        </w:numPr>
      </w:pPr>
      <w:r>
        <w:rPr/>
        <w:t xml:space="preserve">հանցագործության հետ կապված մանրամասները՝ նշելով, թե երբ և ինչ պայմաններում է կատարվել հանցագործությունը: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Միասնական էլեկտրոնային հարթակում հաղորդում ներկայացնելու դեպքում ազդարարը ծանուցվում է Օրենքի 9-րդ հոդվածի 3-րդ մասով նախատեսված՝ հաղորդումը «Օպերատիվ-հետախուզական գործունեության մասին» օրենքով սահմանված կարգով ստուգելու պայմանների մասին: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Օգտատիրոջ վավերապայմաններով միասնական էլեկտրոնային հարթակ մուտք չգործած յուրաքանչյուր ազդարարի համար, հաղորդում ներկայացնելու պահին, համակարգն ինքնաշխատ եղանակով գեներացնում է օգտվողի անուն և գաղտնաբառ, որոնց միջոցով՝</w:t>
      </w:r>
    </w:p>
    <w:p>
      <w:pPr>
        <w:numPr>
          <w:ilvl w:val="0"/>
          <w:numId w:val="7"/>
        </w:numPr>
      </w:pPr>
      <w:r>
        <w:rPr/>
        <w:t xml:space="preserve">ազդարարը կարող է մուտք գործել համակարգում իր անձնական տիրույթ, հետևել ներկայացված հաղորդման ընթացքին և հետադարձ կապի միջոցով պարզաբանումներ և լրացուցիչ տեղեկություններ ներկայացնել հաղորդման հետագա ընթացքի համար պատասխանատու անձին,</w:t>
      </w:r>
    </w:p>
    <w:p>
      <w:pPr>
        <w:numPr>
          <w:ilvl w:val="0"/>
          <w:numId w:val="7"/>
        </w:numPr>
      </w:pPr>
      <w:r>
        <w:rPr/>
        <w:t xml:space="preserve">տվյալներ ներկայացնելու եղանակով հաղորդում ներկայացրած ազդարարը, մուտք գործելով միասնական էլեկտրոնային հարթակ, կարող է նաև այլ հաղորդումներ ներկայացնել իր անձնական տիրույթից: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«Հարթակի մասին»</w:t>
      </w:r>
      <w:r>
        <w:rPr/>
        <w:t xml:space="preserve">բաժինը պարունակում է տեղեկատվություն միասնական էլեկտրոնային հարթակի մասին, այդ թվում՝ միասնական էլեկտրոնային հարթակի ստեղծման նպատակը և ոլորտը կարգավորող իրավական ակտերը:</w:t>
      </w:r>
      <w:r>
        <w:rPr>
          <w:b w:val="1"/>
          <w:bCs w:val="1"/>
        </w:rPr>
        <w:t xml:space="preserve">    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«Հարթակի օգտագործման ուղեցույց» </w:t>
      </w:r>
      <w:r>
        <w:rPr/>
        <w:t xml:space="preserve">բաժինը պարունակում է ուղեցույց, որտեղ քայլ առ քայլ նկարագրված են անանուն և տվյալներ ներկայացնելու եղանակով ազդարարման կարգերը, տարբեր տեսակի սարքերով և հենքերով միասնական էլեկտրոնային հարթակ մուտք գործելու դեպքում համացանցային հաղորդակարգի հասցեի (Internet Protocol Address) ծածկագրման առաջարկվող եղանակները, ինչպես նաև ներկայացված հաղորդման պարագայում հետադարձ կապի իրականացման առանձնահատկությունները: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«Վիճակագրություն»</w:t>
      </w:r>
      <w:r>
        <w:rPr/>
        <w:t xml:space="preserve"> բաժնում ներկայացվում են վիճակագրական տվյալներ միասնական էլեկտրոնային հարթակի այցելությունների թվի, միասնական էլեկտրոնային հարթակի միջոցով ներկայացված հաղորդումների թվի, «Օպերատիվ-հետախուզական գործունեության մասին» օրենքով սահմանված կարգով ստուգված և չստուգված հաղորդումների տոկոսային հարաբերության, ինչպես նաև «Օպերատիվ-հետախուզական գործունեության մասին» օրենքով սահմանված կարգով ստուգված հաղորդումների արդյունքում ընդունված՝ քրեական գործ հարուցելու  և քրեական գործի հարուցումը մերժելու մասին որոշումների  տոկոսային հարաբերության վերաբերյալ:</w:t>
      </w:r>
    </w:p>
    <w:p>
      <w:pPr>
        <w:numPr>
          <w:ilvl w:val="0"/>
          <w:numId w:val="8"/>
        </w:numPr>
      </w:pPr>
      <w:r>
        <w:rPr/>
        <w:t xml:space="preserve">«</w:t>
      </w:r>
      <w:r>
        <w:rPr>
          <w:b w:val="1"/>
          <w:bCs w:val="1"/>
        </w:rPr>
        <w:t xml:space="preserve">Հարթակի միջոցով բացահայտված հանցագործություններ»</w:t>
      </w:r>
      <w:r>
        <w:rPr/>
        <w:t xml:space="preserve"> բաժինը ներկայացնում է միասնական էլեկտրոնային հարթակով ներկայացված հաղորդումների միջոցով բացահայտված հանցագործությունների մասին համառոտ տեղեկատվություն: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7A9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B70ED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E73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E5FA8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5F8E6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562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14D4E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2026-03-31T06:05:02+04:00</dcterms:created>
  <dcterms:modified xsi:type="dcterms:W3CDTF">2026-03-31T06:05:02+04:00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