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«ՄԱՐԴԿԱՆՑ ԹՐԱՖԻՔԻՆԳԻ ԵՎ ՇԱՀԱԳՈՐԾՄԱՆ ԵՆԹԱՐԿՎԱԾ ԱՆՁԱՆՑ  ՆՈՒՅՆԱՑՄԱՆ ԵՎ ԱՋԱԿՑՈՒԹՅԱՆ ՄԱՍԻՆ ՕՐԵՆՔՈՒՄ ՓՈՓՈԽՈՒԹՅՈՒՆՆԵՐ ԵՎ ԼՐԱՑՈՒՄՆԵՐ ԿԱՏԱՐԵԼՈՒ ՄԱՍԻՆ» ՀՀ ՕՐԵՆՔԻ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ՄԱՐԴԿԱՆՑ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ԹՐԱՖ</w:t>
      </w:r>
      <w:r>
        <w:rPr>
          <w:b w:val="1"/>
          <w:bCs w:val="1"/>
        </w:rPr>
        <w:t xml:space="preserve">ԻՔԻՆԳԻ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ՇԱՀԱԳՈՐԾՄԱՆ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ԵՆԹԱՐԿՎԱԾ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ՈՒՅՆԱՑՄԱՆ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ԱՋԱԿՑՈՒԹՅԱՆ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 ՕՐԵՆՔՈՒՄ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«</w:t>
      </w:r>
      <w:r>
        <w:rPr/>
        <w:t xml:space="preserve">Մարդկանց թրաֆիքինգի և շահագործման ենթարկված անձանց նույնացման և աջակցության մասին</w:t>
      </w:r>
      <w:r>
        <w:rPr>
          <w:b w:val="1"/>
          <w:bCs w:val="1"/>
        </w:rPr>
        <w:t xml:space="preserve">» </w:t>
      </w:r>
      <w:r>
        <w:rPr/>
        <w:t xml:space="preserve">Հայաստանի Հանրապետության 2014 թվականի դեկտեմբերի 17-ի ՀՕ-212-Ն օրենքի (այսուհետ՝ օրենք) 11-րդ հոդվածի 2-րդ մասի 3-րդ նախադասությունը շարադրել նոր խմբագրությամբ․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/>
        <w:t xml:space="preserve">Նույնացման հանձնաժողովի նախագահը և քարտուղարը Հայաստանի Հանրապետության աշխատանքի և սոցիալական հարցերի նախարարության ներկայացուցիչներն են:</w:t>
      </w:r>
      <w:r>
        <w:rPr>
          <w:b w:val="1"/>
          <w:bCs w:val="1"/>
        </w:rPr>
        <w:t xml:space="preserve">»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13-րդ հոդվածի՝</w:t>
      </w:r>
    </w:p>
    <w:p>
      <w:pPr/>
      <w:r>
        <w:rPr/>
        <w:t xml:space="preserve">     1-ին մասը շարադրել նոր խմբագրությամբ.</w:t>
      </w:r>
    </w:p>
    <w:p>
      <w:pPr/>
      <w:r>
        <w:rPr>
          <w:b w:val="1"/>
          <w:bCs w:val="1"/>
        </w:rPr>
        <w:t xml:space="preserve">«</w:t>
      </w:r>
      <w:r>
        <w:rPr/>
        <w:t xml:space="preserve">1. Միջազգային, հասարակական կազմակերպությունները, զանգվածային լրատվության միջոցները, քաղաքացիական հասարակությունը, բոլոր նրանք, ովքեր շահագրգռված են մարդկանց թրաֆիքինգի կամ շահագործման հակազդմամբ, կանխարգելմամբ, մարդկանց թրաֆիքինգի կամ շահագործման ենթարկված անձանց աջակցությամբ, պաշտպանությամբ և հասարակությանը նրանց սոցիալական վերաինտեգրմամբ, իրավունք ունեն փոխանցել իրավասու որևէ մարմնի իրենց հայտնի տեղեկատվությունը՝ թրաֆիքինգի կամ շահագործման ենթարկված անձանց, ինչպես նաև նրանց առնչվող ենթադրյալ հանցագործության դեպքերի մասին:</w:t>
      </w:r>
      <w:r>
        <w:rPr>
          <w:b w:val="1"/>
          <w:bCs w:val="1"/>
        </w:rPr>
        <w:t xml:space="preserve">»</w:t>
      </w:r>
      <w:r>
        <w:rPr/>
        <w:t xml:space="preserve">,</w:t>
      </w:r>
    </w:p>
    <w:p>
      <w:pPr>
        <w:numPr>
          <w:ilvl w:val="0"/>
          <w:numId w:val="2"/>
        </w:numPr>
      </w:pPr>
      <w:r>
        <w:rPr/>
        <w:t xml:space="preserve">2. 3-րդ մասում </w:t>
      </w:r>
      <w:r>
        <w:rPr>
          <w:b w:val="1"/>
          <w:bCs w:val="1"/>
        </w:rPr>
        <w:t xml:space="preserve">«</w:t>
      </w:r>
      <w:r>
        <w:rPr/>
        <w:t xml:space="preserve">մարդկանց թրաֆիքինգին կամ շահագործմանն առնչվող</w:t>
      </w:r>
      <w:r>
        <w:rPr>
          <w:b w:val="1"/>
          <w:bCs w:val="1"/>
        </w:rPr>
        <w:t xml:space="preserve">»</w:t>
      </w:r>
      <w:r>
        <w:rPr/>
        <w:t xml:space="preserve"> բառերից հետո լրացնել </w:t>
      </w:r>
      <w:r>
        <w:rPr>
          <w:b w:val="1"/>
          <w:bCs w:val="1"/>
        </w:rPr>
        <w:t xml:space="preserve">«</w:t>
      </w:r>
      <w:r>
        <w:rPr/>
        <w:t xml:space="preserve">ենթադրյալ</w:t>
      </w:r>
      <w:r>
        <w:rPr>
          <w:b w:val="1"/>
          <w:bCs w:val="1"/>
        </w:rPr>
        <w:t xml:space="preserve">»</w:t>
      </w:r>
      <w:r>
        <w:rPr/>
        <w:t xml:space="preserve"> բառը: </w:t>
      </w:r>
    </w:p>
    <w:p>
      <w:pPr/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Հոդված 3. </w:t>
      </w:r>
      <w:r>
        <w:rPr/>
        <w:t xml:space="preserve">Օրենքի 18-րդ հոդվածի՝</w:t>
      </w:r>
    </w:p>
    <w:p>
      <w:pPr>
        <w:numPr>
          <w:ilvl w:val="0"/>
          <w:numId w:val="3"/>
        </w:numPr>
      </w:pPr>
      <w:r>
        <w:rPr/>
        <w:t xml:space="preserve">2-րդ մասում </w:t>
      </w:r>
      <w:r>
        <w:rPr>
          <w:b w:val="1"/>
          <w:bCs w:val="1"/>
        </w:rPr>
        <w:t xml:space="preserve">«</w:t>
      </w:r>
      <w:r>
        <w:rPr/>
        <w:t xml:space="preserve">երկու օրվա ընթացքում</w:t>
      </w:r>
      <w:r>
        <w:rPr>
          <w:b w:val="1"/>
          <w:bCs w:val="1"/>
        </w:rPr>
        <w:t xml:space="preserve">»</w:t>
      </w:r>
      <w:r>
        <w:rPr/>
        <w:t xml:space="preserve"> բառերը փոխարինել </w:t>
      </w:r>
      <w:r>
        <w:rPr>
          <w:b w:val="1"/>
          <w:bCs w:val="1"/>
        </w:rPr>
        <w:t xml:space="preserve">«</w:t>
      </w:r>
      <w:r>
        <w:rPr/>
        <w:t xml:space="preserve">հինգ օրվա ընթացքում</w:t>
      </w:r>
      <w:r>
        <w:rPr>
          <w:b w:val="1"/>
          <w:bCs w:val="1"/>
        </w:rPr>
        <w:t xml:space="preserve">»</w:t>
      </w:r>
      <w:r>
        <w:rPr/>
        <w:t xml:space="preserve"> բառերով,</w:t>
      </w:r>
    </w:p>
    <w:p>
      <w:pPr>
        <w:numPr>
          <w:ilvl w:val="0"/>
          <w:numId w:val="3"/>
        </w:numPr>
      </w:pPr>
      <w:r>
        <w:rPr/>
        <w:t xml:space="preserve">10-րդ մասում </w:t>
      </w:r>
      <w:r>
        <w:rPr>
          <w:b w:val="1"/>
          <w:bCs w:val="1"/>
        </w:rPr>
        <w:t xml:space="preserve">«</w:t>
      </w:r>
      <w:r>
        <w:rPr/>
        <w:t xml:space="preserve">անդամները</w:t>
      </w:r>
      <w:r>
        <w:rPr>
          <w:b w:val="1"/>
          <w:bCs w:val="1"/>
        </w:rPr>
        <w:t xml:space="preserve">»</w:t>
      </w:r>
      <w:r>
        <w:rPr/>
        <w:t xml:space="preserve"> բառից հետո լրացնել </w:t>
      </w:r>
      <w:r>
        <w:rPr>
          <w:b w:val="1"/>
          <w:bCs w:val="1"/>
        </w:rPr>
        <w:t xml:space="preserve">«</w:t>
      </w:r>
      <w:r>
        <w:rPr/>
        <w:t xml:space="preserve">և քարտուղարը</w:t>
      </w:r>
      <w:r>
        <w:rPr>
          <w:b w:val="1"/>
          <w:bCs w:val="1"/>
        </w:rPr>
        <w:t xml:space="preserve">»</w:t>
      </w:r>
      <w:r>
        <w:rPr/>
        <w:t xml:space="preserve"> բառերը: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Հոդված 4. </w:t>
      </w:r>
      <w:r>
        <w:rPr/>
        <w:t xml:space="preserve">Օրենքի 22-րդ հոդվածի՝</w:t>
      </w:r>
    </w:p>
    <w:p>
      <w:pPr/>
      <w:r>
        <w:rPr/>
        <w:t xml:space="preserve">1) 2-րդ մասի 10-րդ կետում և 12-րդ մասի առաջին նախադասությունում </w:t>
      </w:r>
      <w:r>
        <w:rPr>
          <w:b w:val="1"/>
          <w:bCs w:val="1"/>
        </w:rPr>
        <w:t xml:space="preserve">«</w:t>
      </w:r>
      <w:r>
        <w:rPr/>
        <w:t xml:space="preserve">հիմնական</w:t>
      </w:r>
      <w:r>
        <w:rPr>
          <w:b w:val="1"/>
          <w:bCs w:val="1"/>
        </w:rPr>
        <w:t xml:space="preserve">»</w:t>
      </w:r>
      <w:r>
        <w:rPr/>
        <w:t xml:space="preserve"> բառը փոխարինել </w:t>
      </w:r>
      <w:r>
        <w:rPr>
          <w:b w:val="1"/>
          <w:bCs w:val="1"/>
        </w:rPr>
        <w:t xml:space="preserve">«</w:t>
      </w:r>
      <w:r>
        <w:rPr/>
        <w:t xml:space="preserve">օրենքով սահմանված պարտադիր</w:t>
      </w:r>
      <w:r>
        <w:rPr>
          <w:b w:val="1"/>
          <w:bCs w:val="1"/>
        </w:rPr>
        <w:t xml:space="preserve">»</w:t>
      </w:r>
      <w:r>
        <w:rPr/>
        <w:t xml:space="preserve"> բառերով:</w:t>
      </w:r>
    </w:p>
    <w:p>
      <w:pPr/>
      <w:r>
        <w:rPr/>
        <w:t xml:space="preserve">2) 16-րդ մասում </w:t>
      </w:r>
      <w:r>
        <w:rPr>
          <w:b w:val="1"/>
          <w:bCs w:val="1"/>
        </w:rPr>
        <w:t xml:space="preserve">«</w:t>
      </w:r>
      <w:r>
        <w:rPr/>
        <w:t xml:space="preserve">1-ին և 2-րդ կետերով</w:t>
      </w:r>
      <w:r>
        <w:rPr>
          <w:b w:val="1"/>
          <w:bCs w:val="1"/>
        </w:rPr>
        <w:t xml:space="preserve">»</w:t>
      </w:r>
      <w:r>
        <w:rPr/>
        <w:t xml:space="preserve"> բառերը փոխարինել </w:t>
      </w:r>
      <w:r>
        <w:rPr>
          <w:b w:val="1"/>
          <w:bCs w:val="1"/>
        </w:rPr>
        <w:t xml:space="preserve">«</w:t>
      </w:r>
      <w:r>
        <w:rPr/>
        <w:t xml:space="preserve">1-ին կետով</w:t>
      </w:r>
      <w:r>
        <w:rPr>
          <w:b w:val="1"/>
          <w:bCs w:val="1"/>
        </w:rPr>
        <w:t xml:space="preserve">»</w:t>
      </w:r>
      <w:r>
        <w:rPr/>
        <w:t xml:space="preserve"> բառերով: 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24-րդ հոդվածը լրացնել նոր 4.1 և 4.2 մասերով հետևյալ բովանդակությամբ.</w:t>
      </w:r>
    </w:p>
    <w:p>
      <w:pPr/>
      <w:r>
        <w:rPr>
          <w:b w:val="1"/>
          <w:bCs w:val="1"/>
        </w:rPr>
        <w:t xml:space="preserve">«</w:t>
      </w:r>
      <w:r>
        <w:rPr/>
        <w:t xml:space="preserve">4.1. Սույն օրենքի 22-րդ հոդվածի 2-րդ մասի 14-րդ կետով սահմանված միանվագ դրամական փոխհատուցումը հատուկ կատեգորիայի երեխա զոհերին կարող է տրամադրվել մինչև նրանց չափահասության տարիքի հասնելն ըստ հրատապության՝ տվյալ տարվա միջնաժամկետ ծախսերի ծրագրով նախատեսված հատկացումների շրջանակում: Միանվագ դրամական փոխհատուցում տրամադրելու մասին որոշումը կայացվում է նույնացման հանձնաժողովի կողմից՝ գործընկեր հասարակական կազմակերպության միջնորդության հիման վրա:</w:t>
      </w:r>
    </w:p>
    <w:p>
      <w:pPr/>
      <w:r>
        <w:rPr/>
        <w:t xml:space="preserve"> 4.2 հոգեկան խանգարման հետևանքով իր արարքի բնույթն ու նշանակությունն ամբողջությամբ կամ մասամբ գիտակցելու կամ դա ղեկավարելու հնարավորությունից  զրկված  հատուկ կատեգորիայի զոհերին միանվագ դրամական օգնութուն տրամադրելու մասին որոշումը նույնացման հանձնաժողովը ընդունում է  նիստին այդ անձի օրինական ներկայացուցչի ներկայությամբ</w:t>
      </w:r>
      <w:r>
        <w:rPr>
          <w:b w:val="1"/>
          <w:bCs w:val="1"/>
        </w:rPr>
        <w:t xml:space="preserve">»</w:t>
      </w:r>
      <w:r>
        <w:rPr/>
        <w:t xml:space="preserve">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25-րդ հոդվածի  3-րդ մասը շարադրել  նոր խմբագրությամբ.</w:t>
      </w:r>
    </w:p>
    <w:p>
      <w:pPr/>
      <w:r>
        <w:rPr>
          <w:b w:val="1"/>
          <w:bCs w:val="1"/>
        </w:rPr>
        <w:t xml:space="preserve">«</w:t>
      </w:r>
      <w:r>
        <w:rPr/>
        <w:t xml:space="preserve">3. Հավանական զոհերին, զոհերին և հատուկ կատեգորիայի զոհերին սույն օրենքով նախատեսված աջակցության տրամադրման կարգը և չափերը, ինչպես նաև աջակցության և պաշտպանության նպատակով հատուկ կատեգորիայի երեխա զոհերի ուղղորդման ընթացակարգը սահմանվում են Հայաստանի Հանրապետության կառավարության որոշմամբ:</w:t>
      </w:r>
      <w:r>
        <w:rPr>
          <w:b w:val="1"/>
          <w:bCs w:val="1"/>
        </w:rPr>
        <w:t xml:space="preserve">»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7. </w:t>
      </w:r>
    </w:p>
    <w:p>
      <w:pPr/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143C9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59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2026-03-31T08:14:58+04:00</dcterms:created>
  <dcterms:modified xsi:type="dcterms:W3CDTF">2026-03-31T08:14:58+04:00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