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2005 թվականի դեկտեմբերի 29-ի  N 2335-Ն որոշման մեջ լրացում կատարելու մասին» ՀՀ կառավարության որոշման նախաիգծ</w:t>
      </w:r>
      <w:bookmarkEnd w:id="0"/>
    </w:p>
    <w:p>
      <w:pPr>
        <w:jc w:val="end"/>
        <w:ind w:left="0" w:right="0" w:firstLine="400"/>
        <w:spacing w:after="0" w:line="360" w:lineRule="auto"/>
      </w:pPr>
      <w:r>
        <w:rPr>
          <w:rFonts w:ascii="'GHEA Grapalat'" w:hAnsi="'GHEA Grapalat'" w:eastAsia="'GHEA Grapalat'" w:cs="'GHEA Grapalat'"/>
          <w:sz w:val="23"/>
          <w:szCs w:val="23"/>
        </w:rPr>
        <w:t xml:space="preserve">Նախագիծ</w:t>
      </w:r>
    </w:p>
    <w:p>
      <w:pPr>
        <w:jc w:val="end"/>
        <w:ind w:left="0" w:right="0" w:firstLine="400"/>
        <w:spacing w:after="0" w:line="360" w:lineRule="auto"/>
      </w:pPr>
      <w:r>
        <w:rPr>
          <w:rFonts w:ascii="'GHEA Grapalat'" w:hAnsi="'GHEA Grapalat'" w:eastAsia="'GHEA Grapalat'" w:cs="'GHEA Grapalat'"/>
          <w:sz w:val="23"/>
          <w:szCs w:val="23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sz w:val="23"/>
          <w:szCs w:val="23"/>
        </w:rPr>
        <w:t xml:space="preserve">ՀԱՅԱՍՏԱՆԻ ՀԱՆՐԱՊԵՏՈՒԹՅԱՆ ԿԱՌԱՎԱՐՈՒԹՅՈՒՆ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sz w:val="23"/>
          <w:szCs w:val="23"/>
        </w:rPr>
        <w:t xml:space="preserve">ՈՐՈՇՈՒՄ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sz w:val="23"/>
          <w:szCs w:val="23"/>
        </w:rPr>
        <w:t xml:space="preserve"> </w:t>
      </w:r>
    </w:p>
    <w:p>
      <w:pPr>
        <w:jc w:val="center"/>
        <w:ind w:left="0" w:right="0" w:firstLine="400"/>
        <w:spacing w:after="0" w:line="360" w:lineRule="auto"/>
      </w:pPr>
      <w:r>
        <w:rPr>
          <w:rFonts w:ascii="'GHEA Grapalat'" w:hAnsi="'GHEA Grapalat'" w:eastAsia="'GHEA Grapalat'" w:cs="'GHEA Grapalat'"/>
          <w:sz w:val="23"/>
          <w:szCs w:val="23"/>
        </w:rPr>
        <w:t xml:space="preserve">2026 թվականի </w:t>
      </w:r>
      <w:r>
        <w:rPr>
          <w:rFonts w:ascii="'GHEA Grapalat'" w:hAnsi="'GHEA Grapalat'" w:eastAsia="'GHEA Grapalat'" w:cs="'GHEA Grapalat'"/>
          <w:lang w:val="hy-HY"/>
          <w:sz w:val="23"/>
          <w:szCs w:val="23"/>
        </w:rPr>
        <w:t xml:space="preserve">                            </w:t>
      </w:r>
      <w:r>
        <w:rPr>
          <w:rFonts w:ascii="'GHEA Grapalat'" w:hAnsi="'GHEA Grapalat'" w:eastAsia="'GHEA Grapalat'" w:cs="'GHEA Grapalat'"/>
          <w:sz w:val="23"/>
          <w:szCs w:val="23"/>
        </w:rPr>
        <w:t xml:space="preserve">N</w:t>
      </w:r>
      <w:r>
        <w:rPr>
          <w:rFonts w:ascii="'GHEA Grapalat'" w:hAnsi="'GHEA Grapalat'" w:eastAsia="'GHEA Grapalat'" w:cs="'GHEA Grapalat'"/>
          <w:sz w:val="23"/>
          <w:szCs w:val="23"/>
        </w:rPr>
        <w:t xml:space="preserve">        </w:t>
      </w:r>
      <w:r>
        <w:rPr>
          <w:rFonts w:ascii="'GHEA Grapalat'" w:hAnsi="'GHEA Grapalat'" w:eastAsia="'GHEA Grapalat'" w:cs="'GHEA Grapalat'"/>
          <w:sz w:val="23"/>
          <w:szCs w:val="23"/>
        </w:rPr>
        <w:t xml:space="preserve">-Ն</w:t>
      </w:r>
    </w:p>
    <w:p>
      <w:pPr>
        <w:jc w:val="both"/>
        <w:ind w:left="0" w:right="0" w:firstLine="400"/>
        <w:spacing w:after="0" w:line="360" w:lineRule="auto"/>
      </w:pPr>
      <w:r>
        <w:rPr>
          <w:rFonts w:ascii="'GHEA Grapalat'" w:hAnsi="'GHEA Grapalat'" w:eastAsia="'GHEA Grapalat'" w:cs="'GHEA Grapalat'"/>
          <w:sz w:val="10"/>
          <w:szCs w:val="10"/>
        </w:rPr>
        <w:t xml:space="preserve"> </w:t>
      </w:r>
    </w:p>
    <w:p>
      <w:pPr>
        <w:jc w:val="center"/>
        <w:ind w:left="0" w:right="0" w:firstLine="400"/>
        <w:spacing w:after="0" w:line="360" w:lineRule="auto"/>
      </w:pPr>
      <w:r>
        <w:rPr>
          <w:rFonts w:ascii="'GHEA Grapalat'" w:hAnsi="'GHEA Grapalat'" w:eastAsia="'GHEA Grapalat'" w:cs="'GHEA Grapalat'"/>
          <w:sz w:val="23"/>
          <w:szCs w:val="23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ՀԱՅԱՍՏԱՆԻ ՀԱՆՐԱՊԵՏՈՒԹՅԱՆ ԿԱՌԱՎԱՐՈՒԹՅԱՆ 2005 ԹՎԱԿԱՆԻ 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ԴԵԿՏԵՄԲԵՐԻ 29-Ի N 2335-Ն ՈՐՈՇՄԱՆ ՄԵՋ ԼՐԱՑՈՒՄ ԿԱՏԱՐԵԼՈՒ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ՄԱՍԻՆ</w:t>
      </w:r>
    </w:p>
    <w:p>
      <w:pPr>
        <w:jc w:val="both"/>
        <w:ind w:left="0" w:right="0" w:firstLine="400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 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Ղեկավարվելով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Նորմատիվ իրավական ակտերի մասին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</w:t>
      </w:r>
      <w:r>
        <w:rPr>
          <w:rFonts w:ascii="'Times Armenian'" w:hAnsi="'Times Armenian'" w:eastAsia="'Times Armenian'" w:cs="'Times Armenian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օրենքի 34-րդ հոդվածի 1-ին մասով՝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կ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առավարությունը որոշում է.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1. Հայաստանի Հանրապետության կառավարության 2005 թվականի դեկտեմբերի 29-ի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Գործուղման մեկնած աշխատողների գործուղման ծախսերի հատուցման համար կատարվող վճարումների նվազագույն և առավելագույն չափերն ու վճարման, օտարերկրյա պետություններ ուսման կամ ծառայության գործուղված Հայաստանի Հանրապետության պաշտպանության նախարարության համակարգի զինծառայողի և նրա ընտանիքի անդամների, օտարերկրյա պետությունում գործող դիվանագիտական ծառայության մարմին ծառայության մեկնող դիվանագետի և նրա ընտանիքի անդամների` Հայաստանի Հանրապետությունից օտարերկրյա պետություն մեկնելու կամ օտարերկրյա պետությունից Հայաստանի Հանրապետություն վերադառնալու տրանսպորտային ծախսերի, ինչպես նաև օտարերկրյա պետությունում բնակելի տարածության վարձակալության համար դրամական փոխհատուցման կարգերն ու չափերը հաստատելու մասին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N 2335-Ն որոշման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5-րդ հավելվածի 3-րդ կետի վերջում լրացնել նոր նախադասություն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`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հետևյալ բովանդակությամբ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.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«Օ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տարերկրյա պետության ռազմաուսումնական հաստատությունում ուսման գործուղված պարտադիր ժամկետային զինծառայողների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(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այսուհետ՝ կուրսանտ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)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դեպքում,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անկախ կուրսանտներին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ռազմաուսումնական հաստատությանը կից բնակելի ֆոնդ տրամադրված լինելու հանգամանքից,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ուսումնառող յուրաքանչյուր մինչև չորս կուրսանտի հաշվարկով կարող է ըստ անհրաժեշտության վարձակալվել մեկ բնակելի տարածություն՝ սույն կետով սահմանված կարգով՝ կուրսանտների կողմից ուսումնական արձակուրդների, հանգստյան և տոնական օրերի ընթացքում բնակվելու համար:»: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2.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Սույն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որոշումն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ուժի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մեջ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մտնում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պաշտոնական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հրապարակմանը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հաջորդող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օրվանից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: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sz w:val="23"/>
          <w:szCs w:val="23"/>
          <w:b w:val="1"/>
          <w:bCs w:val="1"/>
        </w:rPr>
        <w:t xml:space="preserve"> 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sz w:val="23"/>
          <w:szCs w:val="23"/>
          <w:b w:val="1"/>
          <w:bCs w:val="1"/>
        </w:rPr>
        <w:t xml:space="preserve"> 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sz w:val="23"/>
          <w:szCs w:val="23"/>
          <w:b w:val="1"/>
          <w:bCs w:val="1"/>
        </w:rPr>
        <w:t xml:space="preserve"> 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sz w:val="23"/>
          <w:szCs w:val="23"/>
          <w:b w:val="1"/>
          <w:bCs w:val="1"/>
        </w:rPr>
        <w:t xml:space="preserve"> 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sz w:val="23"/>
          <w:szCs w:val="23"/>
          <w:b w:val="1"/>
          <w:bCs w:val="1"/>
        </w:rPr>
        <w:t xml:space="preserve"> 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sz w:val="23"/>
          <w:szCs w:val="23"/>
          <w:b w:val="1"/>
          <w:bCs w:val="1"/>
        </w:rPr>
        <w:t xml:space="preserve"> 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sz w:val="23"/>
          <w:szCs w:val="23"/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2026-05-08T13:24:08+04:00</dcterms:created>
  <dcterms:modified xsi:type="dcterms:W3CDTF">2026-05-08T13:24:08+04:00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