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ԳՈՐԾԱԶՈՒՐԿ ԱՆՁԱՆՑ ԹՎԱՅԻՆ ԳՐԱԳԻՏՈՒԹՅԱՆ ԶԱՐԳԱՑՄԱՆ ԾՐԱԳԻՐԸ ՀԱՍՏԱՏԵԼՈՒ ՄԱՍԻՆ ՀՀ ԿԱՌԱՎԱՐՈՒԹՅԱՆ ՈՐՈՇՄԱՆ ՆԱԽԱԳԻԾ</w:t>
      </w:r>
      <w:bookmarkEnd w:id="0"/>
    </w:p>
    <w:p>
      <w:pPr>
        <w:jc w:val="end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X-NONE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ԿԱՌԱՎԱՐՈՒԹՅՈՒՆ</w:t>
      </w:r>
    </w:p>
    <w:p>
      <w:pPr>
        <w:jc w:val="center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Մ</w:t>
      </w:r>
    </w:p>
    <w:p>
      <w:pPr>
        <w:jc w:val="center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--------- ---------------- 2026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 Լ</w:t>
      </w:r>
    </w:p>
    <w:p>
      <w:pPr>
        <w:jc w:val="center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ԳՈՐԾԱԶՈՒՐԿ ԱՆՁԱՆՑ ԹՎԱՅԻՆ ԳՐԱԳԻՏՈՒԹՅԱՆ ԶԱՐԳԱՑՄԱՆ ԾՐԱԳԻՐԸ ՀԱՍՏԱՏԵԼՈՒ ՄԱՍԻՆ</w:t>
      </w:r>
    </w:p>
    <w:p>
      <w:pPr>
        <w:jc w:val="center"/>
        <w:ind w:left="0" w:right="0" w:firstLine="72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Հայաստանի Հանրապետության Սահմանադրության 83-րդ հոդվածը, «Զբաղվածության մասին» օրենքի 4-րդ հոդվածի 1-ին մասի 9-րդ կետը՝ Հայաստանի Հանրապետության կառավարությունը որոշում է.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Հաստատել գործազուրկ անձանց թվային գրագիտության զարգացման ծրագիրը՝ համաձայն հավելվածի։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իրականացումն ու համակարգումը վերապահել Հայաստանի Հանրապետության աշխատանքի և սոցիալական հարցերի նախարարության միասնական սոցիալական ծառայությանը։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ծրագրի ֆինանսավորումն իրականացվում է Հայաստանի Հանրապետության պետական բյուջեի և օրենքով չարգելված այլ աղբյուրների հաշվին։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բարձր տեխնոլոգիական արդյունաբերության նախարարին՝ համագործակցելով տեղեկատվական տեխնոլոգիաների</w:t>
      </w:r>
      <w:r>
        <w:rPr>
          <w:rFonts w:ascii="'Calibri'" w:hAnsi="'Calibri'" w:eastAsia="'Calibri'" w:cs="'Calibri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մասնավոր գործընկերների հետ՝ ծրագրի իրականացման ընթացքում տրամադրել տեխնոլոգիական և մասնագիտական աջակցություն: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կրթության, գիտության, մշակույթի և սպորտի նախարարին՝ աջակցել կրթական ծրագրի մշակմանը և համակարգչային ապահովվածությամբ դասասենյակների ապահովմանը։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որոշումն ուժի մեջ է մտնում 2027 թվականի հունվարի 1-ից։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Սահմանել, որ սույն որոշման հավելվածի 16-րդ կետով նախատեսված կազմակերպությունների կողմից հրապարակային օֆերտայի ակցեպտավորման ժամկետը 2027 թվականի մարտի 1-ն է։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end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 </w:t>
      </w:r>
    </w:p>
    <w:p>
      <w:pPr>
        <w:jc w:val="end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ՀՀ կառավարության 2026 թվականի </w:t>
      </w:r>
    </w:p>
    <w:p>
      <w:pPr>
        <w:jc w:val="end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______________ ____ -ի N ______ որոշման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Ծ Ր Ա Գ Ի Ր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ԳՈՐԾԱԶՈՒՐԿ ԱՆՁԱՆՑ ԹՎԱՅԻՆ ԳՐԱԳԻՏՈՒԹՅԱՆ ԶԱՐԳԱՑՄԱՆ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ծրագրի նպատակն է ապահովել գործազուրկ անձանց թվային գրագիտության նվազագույն մակարդակը՝ նպաստելով աշխատաշուկայում նրանց մրցունակության բարձրացմանը և աշխատանքային արդյունավետության, հաղորդակցման և համագործակցության կարողությունների զարգացմանը՝ տեղեկատվական և հաղորդակցական տեխնոլոգիաների (այսուհետ՝ ՏՀՏ) գործիքների կիրառման միջոցով։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հիմնական խնդիրներն են՝ զարգացնել համակարգչային տարրական հմտությունները, ձևավորել էլեկտրոնային փոստի ստեղծման և կիրառման կարողությունները, զարգացնել ինքնակենսագրականի (CV) կազմման հմտությունները, ծանոթացնել աշխատանքի որոնման առցանց հարթակներին և ապահովել թվային անվտանգության հիմունքների յուրացումը։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շահառուներն են գործազուրկի կարգավիճակ ունեցող անձինք։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 ծրագրին մասնակցելու ցանկության դեպքում շահառուն Հայաստանի Հանրապետության կառավարության 2014 թվականի ապրիլի 17-ի N 534-Ն որոշման 3-րդ հավելվածով սահմանված կարգով պետք է հաշվառված լինի e-work.am հարթակում (այսուհետ՝ հարթակ) և կատարած լինի համապատասխան նշում՝ սույն ծրագրում ընդգրկվելու ցանկության վերաբերյալ։ Տվյալ դեպքում անձը նշում է կատարում ծրագրի շրջանակում շահառու դառնալու համար իր տվյալները մշակելու, ներառյալ օգտագործելու և փոխանցելու վերաբերյալ համաձայնություն տալու մասին: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Դասընթացներն իրականացվում են փուլային կարգով՝ համապատասխան խմբերի ձևավորմամբ: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Դասընթացների համար շահառուների խմբերի ձևավորումն իրականացվում է ըստ դիմելու հերթականության` հարթակի միջոցով, իսկ դրա անհնարինության դեպքում՝ Միասնական սոցիալական ծառայության (այսուհետ՝ ՄՍ ծառայություն) կողմից: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Շահառուները դասընթացներին ընդգրկվում են ըստ բնակավայրերի հասանելիության՝ ապահովելով հավասար հնարավորություններ Հայաստանի Հանրապետության բոլոր մարզերում բնակվող գործազուրկների համար։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Դասընթացներն իրականացվում են դպրոցներում և (կամ) քոլեջներում՝ օգտագործելով առկա համակարգչային և նյութատեխնիկական ապահովվածությամբ դասասենյակները։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Դասընթացների տևողությունը կազմում է 24 ակադեմիական ժամ։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Դասընթացներն անցկացվում են 6 շաբաթվա ընթացքում՝ շաբաթական 2 օր, օրական 2 ժամ տևողությամբ՝ հիբրիդ (առկա և առցանց) ձևաչափով։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Դասընթացի բովանդակությունը ներառում է հետևյալ բաժինները՝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 տեղեկատվական և հաղորդակցական տեխնոլոգիաների հիմունքներ,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կիբերանվտանգության հիմունքներ, թվային անվտանգություն և էթիկա,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ամպային տեխնոլոգիաներ և Google ծառայություններ,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Microsoft Office ծրագրերի կիրառություն,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էլեկտրոնային փոստի կիրառում։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Դասընթացի ավարտին իրականացվում է ամփոփիչ գնահատում (թեստավորում), որի անցողիկ շեմը (թեստային առաջադրանքների առնվազն 80%-ը) հաղթահարած մասնակիցները ստանում են վկայական և 50,000 դրամի չափով վաուչեր։ 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Անցողիկ շեմը հաղթահարած մասնակիցների տվյալների հիման վրա հարթակում ինքնաշխատ եղանակով ձևավորվում է վաուչերը՝ Ձև-ին համապատասխան, և ուղարկվում է մասնակիցների էլեկտրոնային փոստի հասցեին: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14.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Վաուչերը կարող է իրացվել Հայաստանի Հանրապետության կրթության, գիտության, մշակույթի և սպորտի նախարարության պաշտոնական կայքէջով հրապարակված «Երաշխավորված ոչ ֆորմալ կրթա­կան մոդուլային ծրագրեր» իրականացնող կազմակեր­պությունների կողմից, որոնք թվային համակարգի գործադրմամբ վաուչերի (QR) կոդի միջոցով անձին նույնականացնելուց հետո ստանում են նրա՝ շահառու լինելու հավաստումը և ընդգրկում իրենց կողմից իրականացվող կարճաժամկետ ուսուցման դասընթացում։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15.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Դասընթացավարները ներգրավվում են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ՄՍ ծառայության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կողմից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իրավաբանական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անձանց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անհատ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ձեռնարկատերերի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(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այսուհետ՝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)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կնքված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հրապարակային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օֆերտայի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պայմանագրի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հիման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վրա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որի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օրինակելի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ձևը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հաստատում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աշխատանքի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սոցիալական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հարցերի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նախարարը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16.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Հրապարակային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օֆերտայի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պայմանագրեր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կարող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են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կնքվել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այն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կազմակերպությունների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հետ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, որոնք ունեն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տեղեկատվական տեխնոլոգիաների ոլորտի կրթական դասընթացների փորձառություն (առնվազն 2 տարվա գործունեություն և տեղեկատվական տեխնոլոգիաների ոլորտի կրթական դասընթացի իրականացման առնվազն 2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դրական փորձ)։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17.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Կազմակերպությունների ցանկը և հրապարակային օֆերտայի պայմանները հրապարակվում են ՄՍ ծառայության պաշտոնական կայքէջում: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18.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Դասընթացավարները նախքան դասընթացների իրականացումն անցնում են վերապատրաստողների վերապատրաստում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(Training of Trainers), որի արդյունքում ձևավորվում է դասընթացավարների խումբ։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19.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Ծրագրի իրականացման մոնիթորինգը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և գնահատումն իրականացվում է ՄՍ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ծառայության կողմից։</w:t>
      </w:r>
    </w:p>
    <w:p>
      <w:pPr>
        <w:jc w:val="both"/>
        <w:ind w:left="0" w:right="0" w:firstLine="72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Ծրագրի ընթացքի և արդյունքների վերաբերյալ եռամսյա պարբերականությամբ հաշվետվություններ են ներկայացվում Աշխատանքի և սոցիալական հարցերի նախարարություն։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p>
      <w:pPr>
        <w:jc w:val="end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Ձև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ՀԱՅԱՍՏԱՆԻ ՀԱՆՐԱՊԵՏՈՒԹՅՈՒՆ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ԱՇԽԱՏԱՆՔԻ ԵՎ ՍՈՑԻԱԼԱԿԱՆ ՀԱՐՑԵՐԻ ՆԱԽԱՐԱՐՈՒԹՅՈՒՆ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  <w:b w:val="1"/>
          <w:bCs w:val="1"/>
        </w:rPr>
        <w:t xml:space="preserve">ԿԱՐՃԱԺԱՄԿԵՏ ՈՒՍՈՒՑՄԱՆ ՀԱՄԱՐ ԱՋԱԿՑՈՒԹՅԱՆ ՏՐԱՄԱԴՐՄԱՆ</w:t>
      </w:r>
    </w:p>
    <w:p>
      <w:pPr>
        <w:jc w:val="center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36"/>
          <w:szCs w:val="36"/>
          <w:b w:val="1"/>
          <w:bCs w:val="1"/>
        </w:rPr>
        <w:t xml:space="preserve">Վ Ա ՈՒ Չ Ե Ր</w:t>
      </w: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tbl>
      <w:tblGrid>
        <w:gridCol w:w="0" w:type="dxa"/>
        <w:gridCol w:w="0" w:type="dxa"/>
      </w:tblGrid>
      <w:tblPr>
        <w:tblW w:w="4300" w:type="pct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pct"/>
            <w:noWrap/>
          </w:tcPr>
          <w:p>
            <w:pPr>
              <w:jc w:val="center"/>
              <w:ind w:left="0" w:right="0" w:firstLine="720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ՍԵՐԻԱ </w:t>
            </w:r>
            <w:r>
              <w:rPr>
                <w:rFonts w:ascii="'Calibri'" w:hAnsi="'Calibri'" w:eastAsia="'Calibri'" w:cs="'Calibri'"/>
                <w:lang w:val="hy-HY"/>
                <w:color w:val="333333"/>
                <w:sz w:val="24"/>
                <w:szCs w:val="24"/>
              </w:rPr>
              <w:t xml:space="preserve">                                  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N 0000</w:t>
            </w:r>
          </w:p>
          <w:p>
            <w:pPr>
              <w:jc w:val="center"/>
              <w:ind w:left="0" w:right="0" w:firstLine="720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Տրված</w:t>
            </w:r>
            <w:r>
              <w:rPr>
                <w:rFonts w:ascii="'Calibri'" w:hAnsi="'Calibri'" w:eastAsia="'Calibri'" w:cs="'Calibri'"/>
                <w:lang w:val="hy-HY"/>
                <w:color w:val="333333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 է «-----» -----------20---- թ.</w:t>
            </w:r>
          </w:p>
        </w:tc>
        <w:tc>
          <w:tcPr>
            <w:tcW w:w="0" w:type="pct"/>
            <w:noWrap/>
          </w:tcPr>
          <w:p>
            <w:pPr>
              <w:jc w:val="center"/>
              <w:ind w:left="0" w:right="0" w:firstLine="720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275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Ուժի մեջ է մինչև « - » ----20 –թ</w:t>
            </w:r>
            <w:r>
              <w:rPr>
                <w:rFonts w:ascii="'MS Mincho'" w:hAnsi="'MS Mincho'" w:eastAsia="'MS Mincho'" w:cs="'MS Mincho'"/>
                <w:lang w:val="EN-US"/>
                <w:color w:val="333333"/>
                <w:sz w:val="24"/>
                <w:szCs w:val="24"/>
              </w:rPr>
              <w:t xml:space="preserve">․</w:t>
            </w:r>
          </w:p>
        </w:tc>
      </w:tr>
    </w:tbl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  <w:ind w:left="0" w:right="0" w:firstLine="72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___________________________________________________________________</w:t>
      </w:r>
    </w:p>
    <w:p>
      <w:pPr>
        <w:jc w:val="center"/>
        <w:ind w:left="0" w:right="0" w:firstLine="720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15"/>
          <w:szCs w:val="15"/>
        </w:rPr>
        <w:t xml:space="preserve">(անուն, հայրանուն, ազգանուն)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 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Իրավունք ունի</w:t>
      </w:r>
    </w:p>
    <w:p>
      <w:pPr>
        <w:jc w:val="center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333333"/>
          <w:sz w:val="24"/>
          <w:szCs w:val="24"/>
        </w:rPr>
        <w:t xml:space="preserve">«Երաշխավորված ոչ ֆորմալ կրթա­կան մոդուլային ծրագրեր» իրականացնող կազմակեր­պության կարճաժամկետ ուսուցման դասընթացում ընդգրկվելու դեպքում ստանալու պետական աջակցություն՝ ուսման վարձի փոխհատուցման տեսքով։</w:t>
      </w:r>
    </w:p>
    <w:tbl>
      <w:tblGrid>
        <w:gridCol w:w="100" w:type="dxa"/>
        <w:gridCol w:w="0" w:type="dxa"/>
      </w:tblGrid>
      <w:tblPr>
        <w:tblW w:w="10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2107" w:hRule="exact"/>
        </w:trPr>
        <w:tc>
          <w:tcPr>
            <w:tcW w:w="100" w:type="dxa"/>
            <w:noWrap/>
          </w:tcPr>
          <w:p>
            <w:pPr>
              <w:jc w:val="center"/>
              <w:ind w:left="0" w:right="0" w:firstLine="375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Միասնական սոցիալական</w:t>
            </w:r>
          </w:p>
          <w:p>
            <w:pPr>
              <w:jc w:val="center"/>
              <w:ind w:left="0" w:right="0" w:firstLine="375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ծառայության պետ՝</w:t>
            </w:r>
          </w:p>
          <w:p>
            <w:pPr>
              <w:jc w:val="center"/>
              <w:ind w:left="0" w:right="0" w:firstLine="375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—————————————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—————————————</w:t>
            </w:r>
          </w:p>
          <w:p>
            <w:pPr>
              <w:jc w:val="center"/>
              <w:ind w:left="0" w:right="0" w:firstLine="720"/>
              <w:spacing w:after="0" w:line="24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15"/>
                <w:szCs w:val="15"/>
              </w:rPr>
              <w:t xml:space="preserve">ստորագրություն) </w:t>
            </w:r>
            <w:r>
              <w:rPr>
                <w:rFonts w:ascii="'Calibri'" w:hAnsi="'Calibri'" w:eastAsia="'Calibri'" w:cs="'Calibri'"/>
                <w:lang w:val="hy-HY"/>
                <w:color w:val="333333"/>
                <w:sz w:val="15"/>
                <w:szCs w:val="15"/>
              </w:rPr>
              <w:t xml:space="preserve">          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15"/>
                <w:szCs w:val="15"/>
              </w:rPr>
              <w:t xml:space="preserve">                                   </w:t>
            </w:r>
            <w:r>
              <w:rPr>
                <w:rFonts w:ascii="'Calibri'" w:hAnsi="'Calibri'" w:eastAsia="'Calibri'" w:cs="'Calibri'"/>
                <w:lang w:val="hy-HY"/>
                <w:color w:val="333333"/>
                <w:sz w:val="15"/>
                <w:szCs w:val="15"/>
              </w:rPr>
              <w:t xml:space="preserve">     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15"/>
                <w:szCs w:val="15"/>
              </w:rPr>
              <w:t xml:space="preserve">                                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15"/>
                <w:szCs w:val="15"/>
              </w:rPr>
              <w:t xml:space="preserve"> </w:t>
            </w: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15"/>
                <w:szCs w:val="15"/>
              </w:rPr>
              <w:t xml:space="preserve">(անուն, ազգանուն)</w:t>
            </w:r>
          </w:p>
        </w:tc>
        <w:tc>
          <w:tcPr>
            <w:tcW w:w="0" w:type="dxa"/>
            <w:noWrap/>
          </w:tcPr>
          <w:p>
            <w:pPr>
              <w:jc w:val="center"/>
              <w:ind w:left="0" w:right="0" w:firstLine="720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</w:t>
            </w:r>
          </w:p>
          <w:p>
            <w:pPr>
              <w:jc w:val="center"/>
              <w:ind w:left="0" w:right="0" w:firstLine="720"/>
              <w:spacing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333333"/>
                <w:sz w:val="24"/>
                <w:szCs w:val="24"/>
              </w:rPr>
              <w:t xml:space="preserve"> </w:t>
            </w:r>
          </w:p>
        </w:tc>
      </w:tr>
    </w:tbl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2026-04-16T21:07:41+04:00</dcterms:created>
  <dcterms:modified xsi:type="dcterms:W3CDTF">2026-04-16T21:07:41+04:00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