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7606" w14:textId="15C77E5D" w:rsidR="00105E68" w:rsidRPr="004E6D16" w:rsidRDefault="00105E68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Հավելված N 3</w:t>
      </w:r>
    </w:p>
    <w:p w14:paraId="4D7B9986" w14:textId="402909B8" w:rsidR="00105E68" w:rsidRPr="004E6D16" w:rsidRDefault="00105E68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Կառավարության N----</w:t>
      </w:r>
      <w:r w:rsidR="00733E49" w:rsidRPr="004E6D16">
        <w:rPr>
          <w:rFonts w:ascii="GHEA Grapalat" w:hAnsi="GHEA Grapalat" w:cs="Times New Roman"/>
          <w:sz w:val="24"/>
          <w:szCs w:val="24"/>
          <w:lang w:val="hy-AM"/>
        </w:rPr>
        <w:t>Լ</w:t>
      </w:r>
      <w:r w:rsidRPr="004E6D16">
        <w:rPr>
          <w:rFonts w:ascii="GHEA Grapalat" w:hAnsi="GHEA Grapalat" w:cs="Times New Roman"/>
          <w:sz w:val="24"/>
          <w:szCs w:val="24"/>
          <w:lang w:val="hy-AM"/>
        </w:rPr>
        <w:t xml:space="preserve"> որոշման</w:t>
      </w:r>
    </w:p>
    <w:p w14:paraId="3D561474" w14:textId="77777777" w:rsidR="00E067A4" w:rsidRPr="004E6D16" w:rsidRDefault="00E067A4" w:rsidP="00E067A4">
      <w:pPr>
        <w:pStyle w:val="BodyText1"/>
        <w:shd w:val="clear" w:color="auto" w:fill="auto"/>
        <w:spacing w:after="160"/>
        <w:ind w:firstLine="0"/>
        <w:jc w:val="right"/>
        <w:rPr>
          <w:rFonts w:ascii="GHEA Grapalat" w:hAnsi="GHEA Grapalat" w:cs="Sylfaen"/>
          <w:sz w:val="24"/>
          <w:lang w:val="hy-AM"/>
        </w:rPr>
      </w:pPr>
    </w:p>
    <w:p w14:paraId="43C03305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b/>
          <w:sz w:val="24"/>
          <w:lang w:val="hy-AM"/>
        </w:rPr>
        <w:t>ՈՒՂԵՑՈՒՅՑ</w:t>
      </w:r>
    </w:p>
    <w:p w14:paraId="3F720EF9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 w:cs="Sylfaen"/>
          <w:b/>
          <w:bCs/>
          <w:sz w:val="24"/>
          <w:lang w:val="hy-AM"/>
        </w:rPr>
      </w:pPr>
      <w:r w:rsidRPr="004E6D16">
        <w:rPr>
          <w:rFonts w:ascii="GHEA Grapalat" w:hAnsi="GHEA Grapalat"/>
          <w:b/>
          <w:sz w:val="24"/>
          <w:lang w:val="hy-AM"/>
        </w:rPr>
        <w:t>Հայաստանի Հանրապետության և Ադրբեջանի Հանրապետության միջև պետական սահմանի սահմանազատման ընթացքում սահմանազատման փորձագիտական խմբերի աշխատանքի կարգի մասին</w:t>
      </w:r>
    </w:p>
    <w:p w14:paraId="15B53D3A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 w:cs="Sylfaen"/>
          <w:i/>
          <w:iCs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Սույն Ուղեցույցը մշակվել է 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(</w:t>
      </w:r>
      <w:r w:rsidRPr="004E6D16">
        <w:rPr>
          <w:rFonts w:ascii="GHEA Grapalat" w:hAnsi="GHEA Grapalat"/>
          <w:i/>
          <w:sz w:val="24"/>
          <w:lang w:val="hy-AM"/>
        </w:rPr>
        <w:t>այսուհետ` Հանձնաժողովներ</w:t>
      </w:r>
      <w:r w:rsidRPr="004E6D16">
        <w:rPr>
          <w:rFonts w:ascii="GHEA Grapalat" w:hAnsi="GHEA Grapalat"/>
          <w:sz w:val="24"/>
          <w:lang w:val="hy-AM"/>
        </w:rPr>
        <w:t>) կողմից՝ 2024 թվականի օգոստոսի 30-ի «Հայաստանի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համատեղ գործունեության մասին կանոնակարգի» (</w:t>
      </w:r>
      <w:r w:rsidRPr="004E6D16">
        <w:rPr>
          <w:rFonts w:ascii="GHEA Grapalat" w:hAnsi="GHEA Grapalat"/>
          <w:i/>
          <w:sz w:val="24"/>
          <w:lang w:val="hy-AM"/>
        </w:rPr>
        <w:t>այսուհետ` Կանոնակարգ</w:t>
      </w:r>
      <w:r w:rsidRPr="004E6D16">
        <w:rPr>
          <w:rFonts w:ascii="GHEA Grapalat" w:hAnsi="GHEA Grapalat"/>
          <w:sz w:val="24"/>
          <w:lang w:val="hy-AM"/>
        </w:rPr>
        <w:t>) կատարման կարգով։</w:t>
      </w:r>
    </w:p>
    <w:p w14:paraId="64FA9A95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Հոդված 1</w:t>
      </w:r>
    </w:p>
    <w:p w14:paraId="7D092F06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Սահմանազատման փորձագիտական խմբերը (</w:t>
      </w:r>
      <w:r w:rsidRPr="004E6D16">
        <w:rPr>
          <w:rFonts w:ascii="GHEA Grapalat" w:hAnsi="GHEA Grapalat"/>
          <w:i/>
          <w:sz w:val="24"/>
          <w:lang w:val="hy-AM"/>
        </w:rPr>
        <w:t>այսուհետ՝ փորձագիտական խմբեր</w:t>
      </w:r>
      <w:r w:rsidRPr="004E6D16">
        <w:rPr>
          <w:rFonts w:ascii="GHEA Grapalat" w:hAnsi="GHEA Grapalat"/>
          <w:sz w:val="24"/>
          <w:lang w:val="hy-AM"/>
        </w:rPr>
        <w:t>) ձևավորվում են Կանոնակարգին համապատասխան և իրենց գործունեությունն իրականացնում են Հանձնաժողովների ղեկավարության և վերահսկողության ներքո:</w:t>
      </w:r>
    </w:p>
    <w:p w14:paraId="645E04C5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Հոդված 2</w:t>
      </w:r>
    </w:p>
    <w:p w14:paraId="05E9E2B2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lastRenderedPageBreak/>
        <w:t>Փորձագիտական խմբերի կողմից կատարվող աշխատանքները սահմանվում են Հանձնաժողովների կողմից:</w:t>
      </w:r>
    </w:p>
    <w:p w14:paraId="78AA7411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Հոդված 3</w:t>
      </w:r>
    </w:p>
    <w:p w14:paraId="3E33B33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1.</w:t>
      </w:r>
      <w:r w:rsidRPr="004E6D16">
        <w:rPr>
          <w:rFonts w:ascii="GHEA Grapalat" w:hAnsi="GHEA Grapalat"/>
          <w:sz w:val="24"/>
          <w:lang w:val="hy-AM"/>
        </w:rPr>
        <w:tab/>
        <w:t>Փորձագիտական խմբերի կողմից իրականացվող աշխատանքների ցանկը՝</w:t>
      </w:r>
    </w:p>
    <w:p w14:paraId="606F8612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Բոլոր վերաբերելի քարտեզագրական փաստաթղթերի, ինչպես նաև բոլոր նորմատիվ իրավական և այլ՝ իրավաբանորեն հիմնավորված փաստաթղթերի հետ աշխատանք․</w:t>
      </w:r>
    </w:p>
    <w:p w14:paraId="31773DC0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Երկրի հեռահար զոնդավորման (</w:t>
      </w:r>
      <w:r w:rsidRPr="004E6D16">
        <w:rPr>
          <w:rFonts w:ascii="GHEA Grapalat" w:hAnsi="GHEA Grapalat"/>
          <w:i/>
          <w:sz w:val="24"/>
          <w:lang w:val="hy-AM"/>
        </w:rPr>
        <w:t>սահմանագծի՝ համապատասխան լայնության շերտի տիեզերական նկարահանման իրականացում</w:t>
      </w:r>
      <w:r w:rsidRPr="004E6D16">
        <w:rPr>
          <w:rFonts w:ascii="GHEA Grapalat" w:hAnsi="GHEA Grapalat"/>
          <w:sz w:val="24"/>
          <w:lang w:val="hy-AM"/>
        </w:rPr>
        <w:t xml:space="preserve">) և (կամ) ԱԹՍ-ից աերոլուսանկարահանման նյութերի ստացման և մշակման համար տեխնիկական մասնագրի համատեղ պատրաստում և տեխնիկական նախագծի կազմում. </w:t>
      </w:r>
    </w:p>
    <w:p w14:paraId="4688C71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Սահմանազատման աշխատանքների կատարման ժամանակահատվածի համար ընդհանուր (</w:t>
      </w:r>
      <w:r w:rsidRPr="004E6D16">
        <w:rPr>
          <w:rFonts w:ascii="GHEA Grapalat" w:hAnsi="GHEA Grapalat"/>
          <w:i/>
          <w:sz w:val="24"/>
          <w:lang w:val="hy-AM"/>
        </w:rPr>
        <w:t>պետական գաղտնիք կազմող տեղեկություններ չպարունակող</w:t>
      </w:r>
      <w:r w:rsidRPr="004E6D16">
        <w:rPr>
          <w:rFonts w:ascii="GHEA Grapalat" w:hAnsi="GHEA Grapalat"/>
          <w:sz w:val="24"/>
          <w:lang w:val="hy-AM"/>
        </w:rPr>
        <w:t>) գեոդեզիական հիմքի ստեղծում․</w:t>
      </w:r>
    </w:p>
    <w:p w14:paraId="084A9D1E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Տեղագրական և գեոդեզիական աշխատանքների իրականացում՝ իրադրությանը համապատասխան տեղագրական հիմք ստեղծելու նպատակով․</w:t>
      </w:r>
    </w:p>
    <w:p w14:paraId="317A409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Սահմանագծի ամբողջ երկայնքով տեղազննման աշխատանքների կատարում․</w:t>
      </w:r>
    </w:p>
    <w:p w14:paraId="3A0DDA7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Սահմանագծի համաձայնեցում․</w:t>
      </w:r>
    </w:p>
    <w:p w14:paraId="4083FF98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Սահմանազատման քարտեզի նախագծի պատրաստում՝ զետեղված համաձայնեցված սահմանագծով</w:t>
      </w:r>
      <w:r w:rsidRPr="004E6D16">
        <w:rPr>
          <w:rFonts w:ascii="Sylfaen" w:hAnsi="Sylfaen"/>
          <w:sz w:val="24"/>
          <w:lang w:val="hy-AM"/>
        </w:rPr>
        <w:t>.</w:t>
      </w:r>
    </w:p>
    <w:p w14:paraId="22F152A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lastRenderedPageBreak/>
        <w:t>-</w:t>
      </w:r>
      <w:r w:rsidRPr="004E6D16">
        <w:rPr>
          <w:rFonts w:ascii="GHEA Grapalat" w:hAnsi="GHEA Grapalat"/>
          <w:sz w:val="24"/>
          <w:lang w:val="hy-AM"/>
        </w:rPr>
        <w:tab/>
        <w:t>Պետական սահմանագծի նկարագրության նախագծի կազմում․</w:t>
      </w:r>
    </w:p>
    <w:p w14:paraId="1EFD4BE8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Ըստ կատարված աշխատանքների փուլերի՝ հաշվետու փաստաթղթերի կազմում և ներկայացում Հանձնաժողովներին</w:t>
      </w:r>
      <w:r w:rsidRPr="004E6D16">
        <w:rPr>
          <w:rFonts w:ascii="Sylfaen" w:hAnsi="Sylfaen"/>
          <w:sz w:val="24"/>
          <w:lang w:val="hy-AM"/>
        </w:rPr>
        <w:t>.</w:t>
      </w:r>
    </w:p>
    <w:p w14:paraId="7655B854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Հսկիչ գեոդեզիական և անհրաժեշտ այլ չափումների իրականացում, ինչպես նաև կատարված աշխատանքների արդյունքների համեմատում․</w:t>
      </w:r>
    </w:p>
    <w:p w14:paraId="518D5F6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-</w:t>
      </w:r>
      <w:r w:rsidRPr="004E6D16">
        <w:rPr>
          <w:rFonts w:ascii="GHEA Grapalat" w:hAnsi="GHEA Grapalat"/>
          <w:sz w:val="24"/>
          <w:lang w:val="hy-AM"/>
        </w:rPr>
        <w:tab/>
        <w:t>Հանձնաժողովների հանձնարարությամբ՝ այլ աշխատանքների կատարում:</w:t>
      </w:r>
    </w:p>
    <w:p w14:paraId="3792F4F9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bookmarkStart w:id="0" w:name="bookmark8"/>
      <w:bookmarkStart w:id="1" w:name="bookmark9"/>
      <w:r w:rsidRPr="004E6D16">
        <w:rPr>
          <w:rFonts w:ascii="GHEA Grapalat" w:hAnsi="GHEA Grapalat"/>
          <w:sz w:val="24"/>
          <w:lang w:val="hy-AM"/>
        </w:rPr>
        <w:t>Հոդված 4</w:t>
      </w:r>
      <w:bookmarkEnd w:id="0"/>
      <w:bookmarkEnd w:id="1"/>
    </w:p>
    <w:p w14:paraId="1BCCD185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pacing w:val="-4"/>
          <w:sz w:val="24"/>
          <w:lang w:val="hy-AM"/>
        </w:rPr>
        <w:t>Փորձագիտական խմբերի աշխատանքային հանդիպումներն անցկացվում են Հանձնաժողովների պայմանավորվածությամբ: Սահմանազատման միջոցառումների համալիրն իրականացվում է փորձագիտական խմբերի կողմից՝ անմիջապես</w:t>
      </w:r>
      <w:r w:rsidRPr="004E6D16">
        <w:rPr>
          <w:rFonts w:ascii="GHEA Grapalat" w:hAnsi="GHEA Grapalat"/>
          <w:sz w:val="24"/>
          <w:lang w:val="hy-AM"/>
        </w:rPr>
        <w:t xml:space="preserve"> տեղանքում։ </w:t>
      </w:r>
    </w:p>
    <w:p w14:paraId="1B8EA5B9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Կատարված աշխատանքների արդյունքներով փորձագիտական խմբերը պատրաստում են փաստաթղթեր՝ Հանձնաժողովներ ներկայացնելու համար:</w:t>
      </w:r>
    </w:p>
    <w:p w14:paraId="4A786BD8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bookmarkStart w:id="2" w:name="bookmark10"/>
      <w:bookmarkStart w:id="3" w:name="bookmark11"/>
      <w:bookmarkStart w:id="4" w:name="bookmark12"/>
      <w:r w:rsidRPr="004E6D16">
        <w:rPr>
          <w:rFonts w:ascii="GHEA Grapalat" w:hAnsi="GHEA Grapalat"/>
          <w:sz w:val="24"/>
          <w:lang w:val="hy-AM"/>
        </w:rPr>
        <w:t>Հոդված 5</w:t>
      </w:r>
      <w:bookmarkEnd w:id="2"/>
      <w:bookmarkEnd w:id="3"/>
      <w:bookmarkEnd w:id="4"/>
    </w:p>
    <w:p w14:paraId="08CE1BC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Նիստերին Հանձնաժողովները սահմանված կարգով ուսումնասիրում և կայացնում են որոշումներ բոլոր առաջարկությունների և փորձագիտական խմբերի կողմից կատարված աշխատանքների վերջնարդյունքների վերաբերյալ։</w:t>
      </w:r>
    </w:p>
    <w:p w14:paraId="660D7B9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Այն հարցերը, որոնց վերաբերյալ փորձագիտական խմբերը պայմանավորվածություն ձեռք չեն բերել, ներկայացվում են Հանձնաժողովների քննարկմանը:</w:t>
      </w:r>
    </w:p>
    <w:p w14:paraId="2E4BFE58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 w:cs="Sylfaen"/>
          <w:sz w:val="24"/>
          <w:lang w:val="hy-AM"/>
        </w:rPr>
      </w:pPr>
      <w:bookmarkStart w:id="5" w:name="bookmark13"/>
      <w:bookmarkStart w:id="6" w:name="bookmark14"/>
      <w:bookmarkStart w:id="7" w:name="bookmark15"/>
      <w:r w:rsidRPr="004E6D16">
        <w:rPr>
          <w:rFonts w:ascii="GHEA Grapalat" w:hAnsi="GHEA Grapalat"/>
          <w:sz w:val="24"/>
          <w:lang w:val="hy-AM"/>
        </w:rPr>
        <w:t>Հոդված 6</w:t>
      </w:r>
      <w:bookmarkEnd w:id="5"/>
      <w:bookmarkEnd w:id="6"/>
      <w:bookmarkEnd w:id="7"/>
    </w:p>
    <w:p w14:paraId="3469344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 xml:space="preserve">Սահմանի սահմանազատման հետ կապված դաշտային և կամերալ </w:t>
      </w:r>
      <w:r w:rsidRPr="004E6D16">
        <w:rPr>
          <w:rFonts w:ascii="GHEA Grapalat" w:hAnsi="GHEA Grapalat"/>
          <w:sz w:val="24"/>
          <w:lang w:val="hy-AM"/>
        </w:rPr>
        <w:lastRenderedPageBreak/>
        <w:t xml:space="preserve">աշխատանքների ամբողջ համալիրն ավարտելուց հետո փորձագիտական խմբերը Հանձնաժողովների ուսումնասիրմանն ու հաստատմանն են ներկայացնում հետևյալ փաստաթղթերի նախագծերը` </w:t>
      </w:r>
    </w:p>
    <w:p w14:paraId="43089955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1.</w:t>
      </w:r>
      <w:r w:rsidRPr="004E6D16">
        <w:rPr>
          <w:rFonts w:ascii="GHEA Grapalat" w:hAnsi="GHEA Grapalat"/>
          <w:sz w:val="24"/>
          <w:lang w:val="hy-AM"/>
        </w:rPr>
        <w:tab/>
        <w:t>Համաձայնեցված պետական սահմանագծի անցման նկարագրության նախագծերը․</w:t>
      </w:r>
    </w:p>
    <w:p w14:paraId="3BEF3B8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2.</w:t>
      </w:r>
      <w:r w:rsidRPr="004E6D16">
        <w:rPr>
          <w:rFonts w:ascii="GHEA Grapalat" w:hAnsi="GHEA Grapalat"/>
          <w:sz w:val="24"/>
          <w:lang w:val="hy-AM"/>
        </w:rPr>
        <w:tab/>
        <w:t>Սահմանազատման քարտեզի և Ալբոմի նախագծերը․</w:t>
      </w:r>
    </w:p>
    <w:p w14:paraId="63CB883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3.</w:t>
      </w:r>
      <w:r w:rsidRPr="004E6D16">
        <w:rPr>
          <w:rFonts w:ascii="GHEA Grapalat" w:hAnsi="GHEA Grapalat"/>
          <w:sz w:val="24"/>
          <w:lang w:val="hy-AM"/>
        </w:rPr>
        <w:tab/>
        <w:t>Համաձայնեցված պետական սահմանագծի կոորդինատների տեղեկագիրը.</w:t>
      </w:r>
    </w:p>
    <w:p w14:paraId="1235FF4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4.</w:t>
      </w:r>
      <w:r w:rsidRPr="004E6D16">
        <w:rPr>
          <w:rFonts w:ascii="GHEA Grapalat" w:hAnsi="GHEA Grapalat"/>
          <w:sz w:val="24"/>
          <w:lang w:val="hy-AM"/>
        </w:rPr>
        <w:tab/>
        <w:t>Կատարված աշխատանքների մասին տեխնիկական հաշվետվությունը, հանդիպումների արձանագրությունները և փորձագիտական խմբերի այլ համապատասխան փաստաթղթեր։</w:t>
      </w:r>
    </w:p>
    <w:p w14:paraId="3C8EF0FA" w14:textId="77777777" w:rsidR="004E6D16" w:rsidRPr="004E6D16" w:rsidRDefault="004E6D16" w:rsidP="004E6D16">
      <w:pPr>
        <w:spacing w:after="160" w:line="360" w:lineRule="auto"/>
        <w:jc w:val="center"/>
        <w:rPr>
          <w:rFonts w:ascii="GHEA Grapalat" w:hAnsi="GHEA Grapalat" w:cs="Sylfaen"/>
          <w:b/>
          <w:lang w:val="hy-AM"/>
        </w:rPr>
      </w:pPr>
      <w:bookmarkStart w:id="8" w:name="bookmark16"/>
      <w:bookmarkStart w:id="9" w:name="bookmark17"/>
      <w:bookmarkStart w:id="10" w:name="bookmark18"/>
      <w:r w:rsidRPr="004E6D16">
        <w:rPr>
          <w:rFonts w:ascii="GHEA Grapalat" w:hAnsi="GHEA Grapalat"/>
          <w:b/>
          <w:lang w:val="hy-AM"/>
        </w:rPr>
        <w:t>Հոդված 7</w:t>
      </w:r>
      <w:bookmarkEnd w:id="8"/>
      <w:bookmarkEnd w:id="9"/>
      <w:bookmarkEnd w:id="10"/>
    </w:p>
    <w:p w14:paraId="52BF8AC6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7.1.</w:t>
      </w:r>
      <w:r w:rsidRPr="004E6D16">
        <w:rPr>
          <w:rFonts w:ascii="GHEA Grapalat" w:hAnsi="GHEA Grapalat"/>
          <w:sz w:val="24"/>
          <w:lang w:val="hy-AM"/>
        </w:rPr>
        <w:tab/>
        <w:t>Հանձնաժողովներն անհրաժեշտության դեպքում կարող են համաձայնեցնել սույն Ուղեցույցի լրացումներն ու փոփոխությունները, որոնք հաստատվում են սույն հոդվածի 7.2 կետին համապատասխան:</w:t>
      </w:r>
    </w:p>
    <w:p w14:paraId="193BB39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7.2.</w:t>
      </w:r>
      <w:r w:rsidRPr="004E6D16">
        <w:rPr>
          <w:rFonts w:ascii="GHEA Grapalat" w:hAnsi="GHEA Grapalat"/>
          <w:sz w:val="24"/>
          <w:lang w:val="hy-AM"/>
        </w:rPr>
        <w:tab/>
        <w:t>Սույն Ուղեցույցը կիրառվում է Հայաստանի Հանրապետության և Ադրբեջանի Հանրապետության կառավարությունների կողմից հաստատվելուց հետո:</w:t>
      </w:r>
    </w:p>
    <w:p w14:paraId="22662DC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  <w:sz w:val="24"/>
          <w:lang w:val="hy-AM"/>
        </w:rPr>
      </w:pPr>
      <w:r w:rsidRPr="004E6D16">
        <w:rPr>
          <w:rFonts w:ascii="GHEA Grapalat" w:hAnsi="GHEA Grapalat"/>
          <w:sz w:val="24"/>
          <w:lang w:val="hy-AM"/>
        </w:rPr>
        <w:t>7.3.</w:t>
      </w:r>
      <w:r w:rsidRPr="004E6D16">
        <w:rPr>
          <w:rFonts w:ascii="GHEA Grapalat" w:hAnsi="GHEA Grapalat"/>
          <w:sz w:val="24"/>
          <w:lang w:val="hy-AM"/>
        </w:rPr>
        <w:tab/>
        <w:t>Սույն Ուղեցույցի դրույթների մեկնաբանման առնչությամբ տարաձայնություններ առաջանալու դեպքում օգտագործվելու է Հանձնաժողովների կողմից համաձայնեցված՝ ռուսերեն տեքստը։</w:t>
      </w:r>
    </w:p>
    <w:sectPr w:rsidR="004E6D16" w:rsidRPr="004E6D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2786" w14:textId="77777777" w:rsidR="004D4F8C" w:rsidRDefault="004D4F8C" w:rsidP="000A2924">
      <w:r>
        <w:separator/>
      </w:r>
    </w:p>
  </w:endnote>
  <w:endnote w:type="continuationSeparator" w:id="0">
    <w:p w14:paraId="74A94908" w14:textId="77777777" w:rsidR="004D4F8C" w:rsidRDefault="004D4F8C" w:rsidP="000A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8435" w14:textId="77777777" w:rsidR="004D4F8C" w:rsidRDefault="004D4F8C" w:rsidP="000A2924">
      <w:r>
        <w:separator/>
      </w:r>
    </w:p>
  </w:footnote>
  <w:footnote w:type="continuationSeparator" w:id="0">
    <w:p w14:paraId="4C7B2076" w14:textId="77777777" w:rsidR="004D4F8C" w:rsidRDefault="004D4F8C" w:rsidP="000A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243" w14:textId="77777777" w:rsidR="000A2924" w:rsidRPr="001945ED" w:rsidRDefault="000A2924" w:rsidP="000A292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Ա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 xml:space="preserve">րդարադատության                                                       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ab/>
    </w:r>
    <w:r w:rsidRPr="001945ED">
      <w:rPr>
        <w:rFonts w:ascii="GHEA Grapalat" w:eastAsia="GHEA Grapalat" w:hAnsi="GHEA Grapalat" w:cs="GHEA Grapalat"/>
        <w:color w:val="000000"/>
        <w:sz w:val="24"/>
        <w:szCs w:val="24"/>
        <w:lang w:val="hy-AM" w:eastAsia="ru-RU"/>
      </w:rPr>
      <w:t>ՆԱԽԱԳԻԾ</w:t>
    </w:r>
    <w:r w:rsidRPr="001945ED">
      <w:rPr>
        <w:rFonts w:ascii="Times New Roman" w:eastAsia="Times New Roman" w:hAnsi="Times New Roman" w:cs="Times New Roman"/>
        <w:noProof/>
        <w:sz w:val="24"/>
        <w:szCs w:val="24"/>
        <w:lang w:val="hy-AM"/>
      </w:rPr>
      <w:drawing>
        <wp:anchor distT="0" distB="0" distL="0" distR="0" simplePos="0" relativeHeight="251659264" behindDoc="0" locked="0" layoutInCell="1" allowOverlap="1" wp14:anchorId="215A1938" wp14:editId="1886480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AD367E" w14:textId="77777777" w:rsidR="000A2924" w:rsidRPr="001945ED" w:rsidRDefault="000A2924" w:rsidP="000A292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Ն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>ախարարություն</w:t>
    </w:r>
  </w:p>
  <w:p w14:paraId="2D1046E2" w14:textId="77777777" w:rsidR="000A2924" w:rsidRPr="001945ED" w:rsidRDefault="000A2924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D5D"/>
    <w:multiLevelType w:val="multilevel"/>
    <w:tmpl w:val="D0608852"/>
    <w:lvl w:ilvl="0">
      <w:start w:val="3"/>
      <w:numFmt w:val="decimal"/>
      <w:lvlText w:val="%1."/>
      <w:lvlJc w:val="left"/>
      <w:pPr>
        <w:ind w:left="420" w:hanging="420"/>
      </w:pPr>
      <w:rPr>
        <w:rFonts w:cs="Calibri"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auto"/>
      </w:rPr>
    </w:lvl>
  </w:abstractNum>
  <w:abstractNum w:abstractNumId="1" w15:restartNumberingAfterBreak="0">
    <w:nsid w:val="030B5F80"/>
    <w:multiLevelType w:val="multilevel"/>
    <w:tmpl w:val="8028F12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</w:rPr>
    </w:lvl>
  </w:abstractNum>
  <w:abstractNum w:abstractNumId="2" w15:restartNumberingAfterBreak="0">
    <w:nsid w:val="06CD0ABD"/>
    <w:multiLevelType w:val="multilevel"/>
    <w:tmpl w:val="89CCD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62235A"/>
    <w:multiLevelType w:val="hybridMultilevel"/>
    <w:tmpl w:val="81DC6980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0FF73C8E"/>
    <w:multiLevelType w:val="hybridMultilevel"/>
    <w:tmpl w:val="4792FE1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5705"/>
    <w:multiLevelType w:val="multilevel"/>
    <w:tmpl w:val="DD5459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6" w15:restartNumberingAfterBreak="0">
    <w:nsid w:val="390125A2"/>
    <w:multiLevelType w:val="multilevel"/>
    <w:tmpl w:val="81DC6980"/>
    <w:lvl w:ilvl="0">
      <w:start w:val="1"/>
      <w:numFmt w:val="decimal"/>
      <w:lvlText w:val="%1."/>
      <w:lvlJc w:val="left"/>
      <w:pPr>
        <w:ind w:left="1158" w:hanging="360"/>
      </w:pPr>
    </w:lvl>
    <w:lvl w:ilvl="1" w:tentative="1">
      <w:start w:val="1"/>
      <w:numFmt w:val="lowerLetter"/>
      <w:lvlText w:val="%2."/>
      <w:lvlJc w:val="left"/>
      <w:pPr>
        <w:ind w:left="1878" w:hanging="360"/>
      </w:pPr>
    </w:lvl>
    <w:lvl w:ilvl="2" w:tentative="1">
      <w:start w:val="1"/>
      <w:numFmt w:val="lowerRoman"/>
      <w:lvlText w:val="%3."/>
      <w:lvlJc w:val="right"/>
      <w:pPr>
        <w:ind w:left="2598" w:hanging="180"/>
      </w:pPr>
    </w:lvl>
    <w:lvl w:ilvl="3" w:tentative="1">
      <w:start w:val="1"/>
      <w:numFmt w:val="decimal"/>
      <w:lvlText w:val="%4."/>
      <w:lvlJc w:val="left"/>
      <w:pPr>
        <w:ind w:left="3318" w:hanging="360"/>
      </w:pPr>
    </w:lvl>
    <w:lvl w:ilvl="4" w:tentative="1">
      <w:start w:val="1"/>
      <w:numFmt w:val="lowerLetter"/>
      <w:lvlText w:val="%5."/>
      <w:lvlJc w:val="left"/>
      <w:pPr>
        <w:ind w:left="4038" w:hanging="360"/>
      </w:pPr>
    </w:lvl>
    <w:lvl w:ilvl="5" w:tentative="1">
      <w:start w:val="1"/>
      <w:numFmt w:val="lowerRoman"/>
      <w:lvlText w:val="%6."/>
      <w:lvlJc w:val="right"/>
      <w:pPr>
        <w:ind w:left="4758" w:hanging="180"/>
      </w:pPr>
    </w:lvl>
    <w:lvl w:ilvl="6" w:tentative="1">
      <w:start w:val="1"/>
      <w:numFmt w:val="decimal"/>
      <w:lvlText w:val="%7."/>
      <w:lvlJc w:val="left"/>
      <w:pPr>
        <w:ind w:left="5478" w:hanging="360"/>
      </w:pPr>
    </w:lvl>
    <w:lvl w:ilvl="7" w:tentative="1">
      <w:start w:val="1"/>
      <w:numFmt w:val="lowerLetter"/>
      <w:lvlText w:val="%8."/>
      <w:lvlJc w:val="left"/>
      <w:pPr>
        <w:ind w:left="6198" w:hanging="360"/>
      </w:pPr>
    </w:lvl>
    <w:lvl w:ilvl="8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7" w15:restartNumberingAfterBreak="0">
    <w:nsid w:val="3E25468F"/>
    <w:multiLevelType w:val="multilevel"/>
    <w:tmpl w:val="46EAEC02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</w:rPr>
    </w:lvl>
  </w:abstractNum>
  <w:abstractNum w:abstractNumId="8" w15:restartNumberingAfterBreak="0">
    <w:nsid w:val="516C6F5B"/>
    <w:multiLevelType w:val="hybridMultilevel"/>
    <w:tmpl w:val="F50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304E8"/>
    <w:multiLevelType w:val="multilevel"/>
    <w:tmpl w:val="E62E2B7C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10" w15:restartNumberingAfterBreak="0">
    <w:nsid w:val="65F37390"/>
    <w:multiLevelType w:val="multilevel"/>
    <w:tmpl w:val="BDA4E298"/>
    <w:lvl w:ilvl="0">
      <w:start w:val="1"/>
      <w:numFmt w:val="decimal"/>
      <w:lvlText w:val="%1."/>
      <w:lvlJc w:val="left"/>
      <w:pPr>
        <w:ind w:left="1158" w:hanging="360"/>
      </w:pPr>
    </w:lvl>
    <w:lvl w:ilvl="1">
      <w:start w:val="2"/>
      <w:numFmt w:val="decimal"/>
      <w:isLgl/>
      <w:lvlText w:val="%1.%2"/>
      <w:lvlJc w:val="left"/>
      <w:pPr>
        <w:ind w:left="1158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51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87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87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23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23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958" w:hanging="2160"/>
      </w:pPr>
      <w:rPr>
        <w:rFonts w:cs="Calibri" w:hint="default"/>
      </w:rPr>
    </w:lvl>
  </w:abstractNum>
  <w:abstractNum w:abstractNumId="11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68E5"/>
    <w:multiLevelType w:val="multilevel"/>
    <w:tmpl w:val="D8C802C4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</w:rPr>
    </w:lvl>
  </w:abstractNum>
  <w:abstractNum w:abstractNumId="13" w15:restartNumberingAfterBreak="0">
    <w:nsid w:val="7D654D08"/>
    <w:multiLevelType w:val="multilevel"/>
    <w:tmpl w:val="C9C65EB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  <w:color w:val="auto"/>
      </w:rPr>
    </w:lvl>
  </w:abstractNum>
  <w:num w:numId="1" w16cid:durableId="672491817">
    <w:abstractNumId w:val="8"/>
  </w:num>
  <w:num w:numId="2" w16cid:durableId="604386352">
    <w:abstractNumId w:val="3"/>
  </w:num>
  <w:num w:numId="3" w16cid:durableId="966281899">
    <w:abstractNumId w:val="5"/>
  </w:num>
  <w:num w:numId="4" w16cid:durableId="762727374">
    <w:abstractNumId w:val="1"/>
  </w:num>
  <w:num w:numId="5" w16cid:durableId="380633906">
    <w:abstractNumId w:val="10"/>
  </w:num>
  <w:num w:numId="6" w16cid:durableId="1120151843">
    <w:abstractNumId w:val="6"/>
  </w:num>
  <w:num w:numId="7" w16cid:durableId="779759834">
    <w:abstractNumId w:val="2"/>
  </w:num>
  <w:num w:numId="8" w16cid:durableId="1635789711">
    <w:abstractNumId w:val="4"/>
  </w:num>
  <w:num w:numId="9" w16cid:durableId="1120301995">
    <w:abstractNumId w:val="11"/>
  </w:num>
  <w:num w:numId="10" w16cid:durableId="1136415735">
    <w:abstractNumId w:val="9"/>
  </w:num>
  <w:num w:numId="11" w16cid:durableId="579604838">
    <w:abstractNumId w:val="13"/>
  </w:num>
  <w:num w:numId="12" w16cid:durableId="1040978765">
    <w:abstractNumId w:val="12"/>
  </w:num>
  <w:num w:numId="13" w16cid:durableId="966350195">
    <w:abstractNumId w:val="7"/>
  </w:num>
  <w:num w:numId="14" w16cid:durableId="128072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4"/>
    <w:rsid w:val="000166A6"/>
    <w:rsid w:val="00016E1C"/>
    <w:rsid w:val="00043CE0"/>
    <w:rsid w:val="0005789A"/>
    <w:rsid w:val="000A2924"/>
    <w:rsid w:val="000C5488"/>
    <w:rsid w:val="000E4FB5"/>
    <w:rsid w:val="001030F0"/>
    <w:rsid w:val="00105E68"/>
    <w:rsid w:val="00116C6B"/>
    <w:rsid w:val="001631AE"/>
    <w:rsid w:val="001767D0"/>
    <w:rsid w:val="001855D6"/>
    <w:rsid w:val="001945ED"/>
    <w:rsid w:val="001F7508"/>
    <w:rsid w:val="00202745"/>
    <w:rsid w:val="0027756F"/>
    <w:rsid w:val="002B6D94"/>
    <w:rsid w:val="002C4C2E"/>
    <w:rsid w:val="002E3FE2"/>
    <w:rsid w:val="00312F90"/>
    <w:rsid w:val="00313A39"/>
    <w:rsid w:val="0035122F"/>
    <w:rsid w:val="00352C5B"/>
    <w:rsid w:val="003733EF"/>
    <w:rsid w:val="00391E1D"/>
    <w:rsid w:val="003A46DA"/>
    <w:rsid w:val="003B2902"/>
    <w:rsid w:val="004041F7"/>
    <w:rsid w:val="00416882"/>
    <w:rsid w:val="00426CAB"/>
    <w:rsid w:val="004368CF"/>
    <w:rsid w:val="004373CD"/>
    <w:rsid w:val="00457744"/>
    <w:rsid w:val="00462614"/>
    <w:rsid w:val="00474EFC"/>
    <w:rsid w:val="004B17A7"/>
    <w:rsid w:val="004C2929"/>
    <w:rsid w:val="004D4F8C"/>
    <w:rsid w:val="004E6D16"/>
    <w:rsid w:val="005058E5"/>
    <w:rsid w:val="00515ED4"/>
    <w:rsid w:val="00592A45"/>
    <w:rsid w:val="00596FB2"/>
    <w:rsid w:val="005A1009"/>
    <w:rsid w:val="005B1228"/>
    <w:rsid w:val="005E4F99"/>
    <w:rsid w:val="005F28B1"/>
    <w:rsid w:val="005F3527"/>
    <w:rsid w:val="006219C5"/>
    <w:rsid w:val="00637A6C"/>
    <w:rsid w:val="0066125F"/>
    <w:rsid w:val="006C4BD6"/>
    <w:rsid w:val="006D5373"/>
    <w:rsid w:val="006D7EAF"/>
    <w:rsid w:val="00704166"/>
    <w:rsid w:val="00720591"/>
    <w:rsid w:val="00725FDF"/>
    <w:rsid w:val="00733E49"/>
    <w:rsid w:val="007750E1"/>
    <w:rsid w:val="007A096D"/>
    <w:rsid w:val="007B7CFA"/>
    <w:rsid w:val="00835B32"/>
    <w:rsid w:val="008877FF"/>
    <w:rsid w:val="008C78F5"/>
    <w:rsid w:val="008F177D"/>
    <w:rsid w:val="009138B9"/>
    <w:rsid w:val="009158ED"/>
    <w:rsid w:val="009312BB"/>
    <w:rsid w:val="009329D5"/>
    <w:rsid w:val="00946059"/>
    <w:rsid w:val="009674F0"/>
    <w:rsid w:val="009D04E2"/>
    <w:rsid w:val="009F0D2B"/>
    <w:rsid w:val="00A51004"/>
    <w:rsid w:val="00AA3202"/>
    <w:rsid w:val="00B2204A"/>
    <w:rsid w:val="00B3611A"/>
    <w:rsid w:val="00B54F4C"/>
    <w:rsid w:val="00B86F25"/>
    <w:rsid w:val="00B86F36"/>
    <w:rsid w:val="00BC3103"/>
    <w:rsid w:val="00BE753C"/>
    <w:rsid w:val="00BF4F6D"/>
    <w:rsid w:val="00C8092E"/>
    <w:rsid w:val="00CE4159"/>
    <w:rsid w:val="00CE4558"/>
    <w:rsid w:val="00CF46AF"/>
    <w:rsid w:val="00D0330A"/>
    <w:rsid w:val="00D5290F"/>
    <w:rsid w:val="00D555AF"/>
    <w:rsid w:val="00D57E19"/>
    <w:rsid w:val="00D77C1E"/>
    <w:rsid w:val="00DC4B9A"/>
    <w:rsid w:val="00DF1951"/>
    <w:rsid w:val="00E067A4"/>
    <w:rsid w:val="00E5665E"/>
    <w:rsid w:val="00E6571C"/>
    <w:rsid w:val="00E9166B"/>
    <w:rsid w:val="00EA0615"/>
    <w:rsid w:val="00EB2C2B"/>
    <w:rsid w:val="00F7030F"/>
    <w:rsid w:val="00F9751B"/>
    <w:rsid w:val="00FA4351"/>
    <w:rsid w:val="00FA5BBD"/>
    <w:rsid w:val="00FB362D"/>
    <w:rsid w:val="00FB7EE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50A0"/>
  <w15:chartTrackingRefBased/>
  <w15:docId w15:val="{F1C134B6-9932-4577-A94F-393F0EE8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0A29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24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4B1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7A7"/>
    <w:rPr>
      <w:b/>
      <w:bCs/>
    </w:rPr>
  </w:style>
  <w:style w:type="character" w:styleId="Emphasis">
    <w:name w:val="Emphasis"/>
    <w:basedOn w:val="DefaultParagraphFont"/>
    <w:uiPriority w:val="20"/>
    <w:qFormat/>
    <w:rsid w:val="004B17A7"/>
    <w:rPr>
      <w:i/>
      <w:iCs/>
    </w:rPr>
  </w:style>
  <w:style w:type="paragraph" w:styleId="NoSpacing">
    <w:name w:val="No Spacing"/>
    <w:uiPriority w:val="1"/>
    <w:qFormat/>
    <w:rsid w:val="004B17A7"/>
    <w:pPr>
      <w:spacing w:after="0" w:line="240" w:lineRule="auto"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qFormat/>
    <w:locked/>
    <w:rsid w:val="00E9166B"/>
    <w:rPr>
      <w:rFonts w:ascii="Calibri" w:hAnsi="Calibri" w:cs="Calibri"/>
    </w:rPr>
  </w:style>
  <w:style w:type="paragraph" w:customStyle="1" w:styleId="mechtex">
    <w:name w:val="mechtex"/>
    <w:basedOn w:val="Normal"/>
    <w:link w:val="mechtexChar"/>
    <w:rsid w:val="00E9166B"/>
    <w:pPr>
      <w:jc w:val="center"/>
    </w:pPr>
    <w:rPr>
      <w:rFonts w:ascii="Arial Armenian" w:eastAsia="Calibri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E9166B"/>
    <w:rPr>
      <w:rFonts w:ascii="Arial Armenian" w:eastAsia="Calibri" w:hAnsi="Arial Armenian" w:cs="Times New Roman"/>
      <w:szCs w:val="20"/>
      <w:lang w:val="x-none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74F0"/>
    <w:pPr>
      <w:spacing w:after="120" w:line="480" w:lineRule="auto"/>
      <w:jc w:val="both"/>
    </w:pPr>
    <w:rPr>
      <w:rFonts w:eastAsia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74F0"/>
    <w:rPr>
      <w:rFonts w:ascii="Calibri" w:eastAsia="Calibri" w:hAnsi="Calibri" w:cs="Times New Roman"/>
      <w:lang w:val="ru-RU"/>
    </w:rPr>
  </w:style>
  <w:style w:type="character" w:customStyle="1" w:styleId="Bodytext">
    <w:name w:val="Body text_"/>
    <w:basedOn w:val="DefaultParagraphFont"/>
    <w:link w:val="BodyText1"/>
    <w:rsid w:val="001855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855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1855D6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rsid w:val="001855D6"/>
    <w:pPr>
      <w:widowControl w:val="0"/>
      <w:shd w:val="clear" w:color="auto" w:fill="FFFFFF"/>
      <w:spacing w:after="2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609</Words>
  <Characters>3473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2026-05-14T12:54:00Z</dcterms:created>
  <dcterms:modified xsi:type="dcterms:W3CDTF">2026-05-15T09:23:00Z</dcterms:modified>
</cp:coreProperties>
</file>